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97DE7">
      <w:pPr>
        <w:spacing w:before="101" w:line="230" w:lineRule="auto"/>
        <w:rPr>
          <w:rFonts w:ascii="黑体" w:hAnsi="黑体" w:eastAsia="黑体" w:cs="黑体"/>
          <w:spacing w:val="-6"/>
          <w:sz w:val="31"/>
          <w:szCs w:val="31"/>
        </w:rPr>
      </w:pPr>
      <w:r>
        <w:rPr>
          <w:rFonts w:ascii="黑体" w:hAnsi="黑体" w:eastAsia="黑体" w:cs="黑体"/>
          <w:spacing w:val="-6"/>
          <w:sz w:val="31"/>
          <w:szCs w:val="31"/>
        </w:rPr>
        <w:t>附件</w:t>
      </w:r>
      <w:r>
        <w:rPr>
          <w:rFonts w:hint="eastAsia" w:ascii="黑体" w:hAnsi="黑体" w:eastAsia="黑体" w:cs="黑体"/>
          <w:spacing w:val="-6"/>
          <w:sz w:val="31"/>
          <w:szCs w:val="31"/>
        </w:rPr>
        <w:t>3</w:t>
      </w:r>
    </w:p>
    <w:p w14:paraId="562DBB88">
      <w:pPr>
        <w:spacing w:beforeLines="50" w:afterLines="50" w:line="600" w:lineRule="exact"/>
        <w:jc w:val="center"/>
        <w:rPr>
          <w:rFonts w:ascii="方正小标宋简体" w:hAnsi="微软雅黑" w:eastAsia="方正小标宋简体" w:cs="微软雅黑"/>
          <w:spacing w:val="28"/>
          <w:sz w:val="44"/>
          <w:szCs w:val="44"/>
        </w:rPr>
      </w:pPr>
      <w:bookmarkStart w:id="0" w:name="_GoBack"/>
      <w:r>
        <w:rPr>
          <w:rFonts w:hint="eastAsia" w:ascii="方正小标宋简体" w:hAnsi="微软雅黑" w:eastAsia="方正小标宋简体" w:cs="微软雅黑"/>
          <w:spacing w:val="31"/>
          <w:sz w:val="44"/>
          <w:szCs w:val="44"/>
        </w:rPr>
        <w:t>西</w:t>
      </w:r>
      <w:r>
        <w:rPr>
          <w:rFonts w:hint="eastAsia" w:ascii="方正小标宋简体" w:hAnsi="微软雅黑" w:eastAsia="方正小标宋简体" w:cs="微软雅黑"/>
          <w:spacing w:val="28"/>
          <w:sz w:val="44"/>
          <w:szCs w:val="44"/>
        </w:rPr>
        <w:t>安市雁塔区创建全国基层中医药工作示范区短板清单</w:t>
      </w:r>
      <w:bookmarkEnd w:id="0"/>
    </w:p>
    <w:tbl>
      <w:tblPr>
        <w:tblStyle w:val="4"/>
        <w:tblW w:w="1383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61"/>
        <w:gridCol w:w="8692"/>
        <w:gridCol w:w="1261"/>
        <w:gridCol w:w="1903"/>
        <w:gridCol w:w="12"/>
      </w:tblGrid>
      <w:tr w14:paraId="7A02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98" w:hRule="atLeast"/>
          <w:tblHeader/>
        </w:trPr>
        <w:tc>
          <w:tcPr>
            <w:tcW w:w="709" w:type="dxa"/>
            <w:vAlign w:val="center"/>
          </w:tcPr>
          <w:p w14:paraId="746A026F">
            <w:pPr>
              <w:jc w:val="center"/>
              <w:textAlignment w:val="center"/>
              <w:rPr>
                <w:rFonts w:hint="eastAsia" w:ascii="黑体" w:hAnsi="黑体" w:eastAsia="黑体" w:cs="微软雅黑"/>
                <w:sz w:val="24"/>
              </w:rPr>
            </w:pPr>
            <w:r>
              <w:rPr>
                <w:rFonts w:hint="eastAsia" w:ascii="黑体" w:hAnsi="黑体" w:eastAsia="黑体" w:cs="微软雅黑"/>
                <w:snapToGrid w:val="0"/>
                <w:color w:val="000000"/>
                <w:kern w:val="0"/>
                <w:sz w:val="24"/>
              </w:rPr>
              <w:t>序号</w:t>
            </w:r>
          </w:p>
        </w:tc>
        <w:tc>
          <w:tcPr>
            <w:tcW w:w="9953" w:type="dxa"/>
            <w:gridSpan w:val="2"/>
            <w:vAlign w:val="center"/>
          </w:tcPr>
          <w:p w14:paraId="741EFC8C">
            <w:pPr>
              <w:jc w:val="center"/>
              <w:textAlignment w:val="center"/>
              <w:rPr>
                <w:rFonts w:hint="eastAsia" w:ascii="仿宋_GB2312" w:hAnsi="宋体" w:eastAsia="仿宋_GB2312" w:cs="宋体"/>
                <w:snapToGrid w:val="0"/>
                <w:color w:val="000000"/>
                <w:sz w:val="24"/>
              </w:rPr>
            </w:pPr>
            <w:r>
              <w:rPr>
                <w:rFonts w:hint="eastAsia" w:ascii="黑体" w:hAnsi="黑体" w:eastAsia="黑体" w:cs="微软雅黑"/>
                <w:snapToGrid w:val="0"/>
                <w:color w:val="000000"/>
                <w:kern w:val="0"/>
                <w:sz w:val="24"/>
              </w:rPr>
              <w:t>主   要   任   务</w:t>
            </w:r>
          </w:p>
        </w:tc>
        <w:tc>
          <w:tcPr>
            <w:tcW w:w="1261" w:type="dxa"/>
            <w:vAlign w:val="center"/>
          </w:tcPr>
          <w:p w14:paraId="3635EEAB">
            <w:pPr>
              <w:jc w:val="center"/>
              <w:textAlignment w:val="center"/>
              <w:rPr>
                <w:rFonts w:hint="eastAsia" w:ascii="黑体" w:hAnsi="黑体" w:eastAsia="黑体" w:cs="微软雅黑"/>
                <w:sz w:val="24"/>
              </w:rPr>
            </w:pPr>
            <w:r>
              <w:rPr>
                <w:rFonts w:hint="eastAsia" w:ascii="黑体" w:hAnsi="黑体" w:eastAsia="黑体" w:cs="微软雅黑"/>
                <w:snapToGrid w:val="0"/>
                <w:color w:val="000000"/>
                <w:kern w:val="0"/>
                <w:sz w:val="24"/>
              </w:rPr>
              <w:t>责任主体</w:t>
            </w:r>
          </w:p>
        </w:tc>
        <w:tc>
          <w:tcPr>
            <w:tcW w:w="1903" w:type="dxa"/>
            <w:vAlign w:val="center"/>
          </w:tcPr>
          <w:p w14:paraId="3DBC4BB4">
            <w:pPr>
              <w:jc w:val="center"/>
              <w:textAlignment w:val="center"/>
              <w:rPr>
                <w:rFonts w:hint="eastAsia" w:ascii="黑体" w:hAnsi="黑体" w:eastAsia="黑体" w:cs="微软雅黑"/>
                <w:sz w:val="24"/>
              </w:rPr>
            </w:pPr>
            <w:r>
              <w:rPr>
                <w:rFonts w:hint="eastAsia" w:ascii="黑体" w:hAnsi="黑体" w:eastAsia="黑体" w:cs="微软雅黑"/>
                <w:snapToGrid w:val="0"/>
                <w:color w:val="000000"/>
                <w:kern w:val="0"/>
                <w:sz w:val="24"/>
              </w:rPr>
              <w:t>涉及部门</w:t>
            </w:r>
          </w:p>
        </w:tc>
      </w:tr>
      <w:tr w14:paraId="7915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077" w:hRule="atLeast"/>
          <w:tblHeader/>
        </w:trPr>
        <w:tc>
          <w:tcPr>
            <w:tcW w:w="709" w:type="dxa"/>
            <w:vAlign w:val="center"/>
          </w:tcPr>
          <w:p w14:paraId="676B94C6">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w:t>
            </w:r>
          </w:p>
        </w:tc>
        <w:tc>
          <w:tcPr>
            <w:tcW w:w="1261" w:type="dxa"/>
            <w:vMerge w:val="restart"/>
            <w:vAlign w:val="center"/>
          </w:tcPr>
          <w:p w14:paraId="0E86E662">
            <w:pPr>
              <w:jc w:val="center"/>
              <w:textAlignment w:val="center"/>
              <w:rPr>
                <w:rFonts w:hint="eastAsia" w:ascii="仿宋_GB2312" w:hAnsi="宋体" w:eastAsia="仿宋_GB2312" w:cs="宋体"/>
                <w:sz w:val="24"/>
              </w:rPr>
            </w:pPr>
            <w:r>
              <w:rPr>
                <w:rFonts w:hint="eastAsia" w:ascii="仿宋_GB2312" w:hAnsi="宋体" w:eastAsia="仿宋_GB2312" w:cs="宋体"/>
                <w:sz w:val="24"/>
              </w:rPr>
              <w:t>组织管理</w:t>
            </w:r>
          </w:p>
        </w:tc>
        <w:tc>
          <w:tcPr>
            <w:tcW w:w="8692" w:type="dxa"/>
            <w:vAlign w:val="center"/>
          </w:tcPr>
          <w:p w14:paraId="2FC91035">
            <w:pPr>
              <w:ind w:firstLine="480" w:firstLineChars="200"/>
              <w:jc w:val="left"/>
              <w:textAlignment w:val="center"/>
              <w:rPr>
                <w:rFonts w:hint="eastAsia" w:ascii="仿宋_GB2312" w:hAnsi="宋体" w:eastAsia="仿宋_GB2312" w:cs="宋体"/>
                <w:snapToGrid w:val="0"/>
                <w:color w:val="000000"/>
                <w:sz w:val="24"/>
              </w:rPr>
            </w:pPr>
            <w:r>
              <w:rPr>
                <w:rFonts w:hint="eastAsia" w:ascii="仿宋_GB2312" w:hAnsi="宋体" w:eastAsia="仿宋_GB2312" w:cs="宋体"/>
                <w:snapToGrid w:val="0"/>
                <w:color w:val="000000"/>
                <w:kern w:val="0"/>
                <w:sz w:val="24"/>
              </w:rPr>
              <w:t>区委区政府传达学习习近平总书记关于中医药工作的重要论述、《中华人民共和国中医药法》《中共中央国务院关于促进中医药传承创新发展的意见》及其他党中央</w:t>
            </w:r>
            <w:r>
              <w:rPr>
                <w:rFonts w:hint="eastAsia" w:ascii="仿宋_GB2312" w:hAnsi="宋体" w:eastAsia="仿宋_GB2312" w:cs="宋体"/>
                <w:snapToGrid w:val="0"/>
                <w:color w:val="000000"/>
                <w:kern w:val="0"/>
                <w:sz w:val="24"/>
                <w:lang w:eastAsia="zh-CN"/>
              </w:rPr>
              <w:t>、</w:t>
            </w:r>
            <w:r>
              <w:rPr>
                <w:rFonts w:hint="eastAsia" w:ascii="仿宋_GB2312" w:hAnsi="宋体" w:eastAsia="仿宋_GB2312" w:cs="宋体"/>
                <w:snapToGrid w:val="0"/>
                <w:color w:val="000000"/>
                <w:kern w:val="0"/>
                <w:sz w:val="24"/>
              </w:rPr>
              <w:t>国务院对中医药工作重大决策部署文件等。（区委、区政府研究部署、落实中医药工作相关文件、会议记录、纪要等原始资料。）</w:t>
            </w:r>
          </w:p>
        </w:tc>
        <w:tc>
          <w:tcPr>
            <w:tcW w:w="1261" w:type="dxa"/>
            <w:vAlign w:val="center"/>
          </w:tcPr>
          <w:p w14:paraId="1DB80121">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03" w:type="dxa"/>
            <w:vAlign w:val="center"/>
          </w:tcPr>
          <w:p w14:paraId="79B30E8D">
            <w:pPr>
              <w:jc w:val="center"/>
              <w:textAlignment w:val="center"/>
              <w:rPr>
                <w:rStyle w:val="9"/>
                <w:rFonts w:hint="default" w:ascii="仿宋_GB2312" w:eastAsia="仿宋_GB2312"/>
                <w:snapToGrid w:val="0"/>
                <w:sz w:val="24"/>
              </w:rPr>
            </w:pPr>
            <w:r>
              <w:rPr>
                <w:rStyle w:val="9"/>
                <w:rFonts w:hint="default" w:ascii="仿宋_GB2312" w:eastAsia="仿宋_GB2312"/>
                <w:snapToGrid w:val="0"/>
                <w:sz w:val="24"/>
              </w:rPr>
              <w:t>区政府办</w:t>
            </w:r>
          </w:p>
          <w:p w14:paraId="55387441">
            <w:pPr>
              <w:jc w:val="center"/>
              <w:textAlignment w:val="center"/>
              <w:rPr>
                <w:rFonts w:hint="eastAsia" w:ascii="仿宋_GB2312" w:hAnsi="宋体" w:eastAsia="仿宋_GB2312" w:cs="宋体"/>
                <w:sz w:val="24"/>
              </w:rPr>
            </w:pPr>
            <w:r>
              <w:rPr>
                <w:rStyle w:val="9"/>
                <w:rFonts w:hint="default" w:ascii="仿宋_GB2312" w:eastAsia="仿宋_GB2312"/>
                <w:snapToGrid w:val="0"/>
                <w:sz w:val="24"/>
              </w:rPr>
              <w:t>区卫健局</w:t>
            </w:r>
          </w:p>
        </w:tc>
      </w:tr>
      <w:tr w14:paraId="056E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412" w:hRule="atLeast"/>
          <w:tblHeader/>
        </w:trPr>
        <w:tc>
          <w:tcPr>
            <w:tcW w:w="709" w:type="dxa"/>
            <w:vAlign w:val="center"/>
          </w:tcPr>
          <w:p w14:paraId="69864C66">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2</w:t>
            </w:r>
          </w:p>
        </w:tc>
        <w:tc>
          <w:tcPr>
            <w:tcW w:w="1261" w:type="dxa"/>
            <w:vMerge w:val="continue"/>
            <w:vAlign w:val="center"/>
          </w:tcPr>
          <w:p w14:paraId="079EA108">
            <w:pPr>
              <w:jc w:val="center"/>
              <w:rPr>
                <w:rFonts w:hint="eastAsia" w:ascii="仿宋_GB2312" w:hAnsi="宋体" w:eastAsia="仿宋_GB2312" w:cs="宋体"/>
                <w:sz w:val="24"/>
              </w:rPr>
            </w:pPr>
          </w:p>
        </w:tc>
        <w:tc>
          <w:tcPr>
            <w:tcW w:w="8692" w:type="dxa"/>
            <w:vAlign w:val="center"/>
          </w:tcPr>
          <w:p w14:paraId="6F130B58">
            <w:pPr>
              <w:ind w:firstLine="480" w:firstLineChars="200"/>
              <w:jc w:val="left"/>
              <w:textAlignment w:val="center"/>
              <w:rPr>
                <w:rStyle w:val="9"/>
                <w:rFonts w:hint="default" w:ascii="仿宋_GB2312" w:eastAsia="仿宋_GB2312"/>
                <w:sz w:val="24"/>
              </w:rPr>
            </w:pPr>
            <w:r>
              <w:rPr>
                <w:rStyle w:val="9"/>
                <w:rFonts w:hint="default" w:ascii="仿宋_GB2312" w:eastAsia="仿宋_GB2312"/>
                <w:snapToGrid w:val="0"/>
                <w:sz w:val="24"/>
              </w:rPr>
              <w:t>1．充分发挥党委在中医药工作中的核心领导作用，将中医药工作纳入本区国民经济和社会发展规划及政府议事日程，发展规划要求内容具体、指导性强，并体现财政支持。</w:t>
            </w:r>
          </w:p>
          <w:p w14:paraId="50C1C024">
            <w:pPr>
              <w:ind w:firstLine="480" w:firstLineChars="200"/>
              <w:jc w:val="left"/>
              <w:textAlignment w:val="center"/>
              <w:rPr>
                <w:rStyle w:val="9"/>
                <w:rFonts w:hint="default" w:ascii="仿宋_GB2312" w:eastAsia="仿宋_GB2312"/>
                <w:snapToGrid w:val="0"/>
                <w:sz w:val="24"/>
              </w:rPr>
            </w:pPr>
            <w:r>
              <w:rPr>
                <w:rStyle w:val="9"/>
                <w:rFonts w:hint="default" w:ascii="仿宋_GB2312" w:eastAsia="仿宋_GB2312"/>
                <w:snapToGrid w:val="0"/>
                <w:sz w:val="24"/>
              </w:rPr>
              <w:t>2．制定中医药中长期发展规划并组织实施。（查阅区国民经济和社会发展规划。查阅本区中医药中长期发展规划等相关资料，查阅本区中医药中长期发展规划中是否体现基层中医药服务机构建设、人员配备、服务能力提升等相关政策落实。区委、区政府研究部署、落实中医药工作相关文件、会议记录、纪要等，查阅落实中医药工作相关文件等。）</w:t>
            </w:r>
          </w:p>
          <w:p w14:paraId="17D6FFCF">
            <w:pPr>
              <w:rPr>
                <w:rFonts w:ascii="仿宋_GB2312" w:hAnsi="宋体" w:eastAsia="仿宋_GB2312" w:cs="宋体"/>
                <w:sz w:val="24"/>
              </w:rPr>
            </w:pPr>
          </w:p>
        </w:tc>
        <w:tc>
          <w:tcPr>
            <w:tcW w:w="1261" w:type="dxa"/>
            <w:vAlign w:val="center"/>
          </w:tcPr>
          <w:p w14:paraId="382EB57F">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03" w:type="dxa"/>
            <w:vAlign w:val="center"/>
          </w:tcPr>
          <w:p w14:paraId="7413459C">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区发改委</w:t>
            </w:r>
          </w:p>
          <w:p w14:paraId="1C87BC83">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区卫健局</w:t>
            </w:r>
          </w:p>
        </w:tc>
      </w:tr>
      <w:tr w14:paraId="6B9D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344" w:hRule="atLeast"/>
          <w:tblHeader/>
        </w:trPr>
        <w:tc>
          <w:tcPr>
            <w:tcW w:w="709" w:type="dxa"/>
            <w:vAlign w:val="center"/>
          </w:tcPr>
          <w:p w14:paraId="3D945E98">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3</w:t>
            </w:r>
          </w:p>
        </w:tc>
        <w:tc>
          <w:tcPr>
            <w:tcW w:w="1261" w:type="dxa"/>
            <w:vMerge w:val="continue"/>
            <w:vAlign w:val="center"/>
          </w:tcPr>
          <w:p w14:paraId="335050CD">
            <w:pPr>
              <w:jc w:val="center"/>
              <w:rPr>
                <w:rFonts w:hint="eastAsia" w:ascii="仿宋_GB2312" w:hAnsi="宋体" w:eastAsia="仿宋_GB2312" w:cs="宋体"/>
                <w:sz w:val="24"/>
              </w:rPr>
            </w:pPr>
          </w:p>
        </w:tc>
        <w:tc>
          <w:tcPr>
            <w:tcW w:w="8692" w:type="dxa"/>
            <w:vAlign w:val="center"/>
          </w:tcPr>
          <w:p w14:paraId="19090F2D">
            <w:pPr>
              <w:ind w:firstLine="480" w:firstLineChars="200"/>
              <w:jc w:val="left"/>
              <w:textAlignment w:val="center"/>
              <w:rPr>
                <w:rFonts w:hint="eastAsia" w:ascii="仿宋_GB2312" w:hAnsi="宋体" w:eastAsia="仿宋_GB2312" w:cs="宋体"/>
                <w:snapToGrid w:val="0"/>
                <w:color w:val="000000"/>
                <w:sz w:val="24"/>
              </w:rPr>
            </w:pPr>
            <w:r>
              <w:rPr>
                <w:rStyle w:val="9"/>
                <w:rFonts w:hint="default" w:ascii="仿宋_GB2312" w:eastAsia="仿宋_GB2312"/>
                <w:snapToGrid w:val="0"/>
                <w:sz w:val="24"/>
              </w:rPr>
              <w:t>区政府建立中医药工作部门联席会议制度或中医药工作领导小组，建立区级中医药工作联席会议机制及建设文件，定期召开会议，研究协调解决本区中医药发展的相关事宜并附相关工作会议记录，统筹推进本区中医药事业发展。（查阅区级中医药工作联席会议机制及建设文件，查阅研究协调解决中医药工作的相关工作会议记录。）</w:t>
            </w:r>
          </w:p>
        </w:tc>
        <w:tc>
          <w:tcPr>
            <w:tcW w:w="1261" w:type="dxa"/>
            <w:vAlign w:val="center"/>
          </w:tcPr>
          <w:p w14:paraId="22B790D8">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03" w:type="dxa"/>
            <w:vAlign w:val="center"/>
          </w:tcPr>
          <w:p w14:paraId="1A47AD12">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区卫健局</w:t>
            </w:r>
          </w:p>
        </w:tc>
      </w:tr>
      <w:tr w14:paraId="0D05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412" w:hRule="atLeast"/>
          <w:tblHeader/>
        </w:trPr>
        <w:tc>
          <w:tcPr>
            <w:tcW w:w="709" w:type="dxa"/>
            <w:vAlign w:val="center"/>
          </w:tcPr>
          <w:p w14:paraId="74549733">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4</w:t>
            </w:r>
          </w:p>
        </w:tc>
        <w:tc>
          <w:tcPr>
            <w:tcW w:w="1261" w:type="dxa"/>
            <w:vMerge w:val="restart"/>
            <w:vAlign w:val="center"/>
          </w:tcPr>
          <w:p w14:paraId="71496FB2">
            <w:pPr>
              <w:jc w:val="center"/>
              <w:rPr>
                <w:rFonts w:hint="eastAsia" w:ascii="仿宋_GB2312" w:hAnsi="宋体" w:eastAsia="仿宋_GB2312" w:cs="宋体"/>
                <w:sz w:val="24"/>
              </w:rPr>
            </w:pPr>
            <w:r>
              <w:rPr>
                <w:rFonts w:hint="eastAsia" w:ascii="仿宋_GB2312" w:hAnsi="宋体" w:eastAsia="仿宋_GB2312" w:cs="宋体"/>
                <w:sz w:val="24"/>
              </w:rPr>
              <w:t>促进发展</w:t>
            </w:r>
          </w:p>
        </w:tc>
        <w:tc>
          <w:tcPr>
            <w:tcW w:w="8692" w:type="dxa"/>
            <w:vAlign w:val="center"/>
          </w:tcPr>
          <w:p w14:paraId="75AF1C3E">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1.区卫健局设立中医药工作管理机构，配备专职干部；分管领导和专职干部熟悉中医药政策，组织并协调各相关部门落实基层中医药工作。</w:t>
            </w:r>
          </w:p>
          <w:p w14:paraId="0BE4DB37">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2.建立本区中医药工作跨部门协调机制，设置中医药管理职能部门，配备专职人员管理中医药工作，完善部门联席会议制度，做好中医药发展规划、标准制定、质量管理等工作，将本区基层中医药服务打造成网络健全、设施设备完善、人员配备合理、管理规范、中医药防治康养融合发展的完整体系。（区政府主管领导熟悉中医药法律法规及相关政策，对本区中医药工作发展思路清晰，组织开展并协调各相关部门落实基层中医药工作。设置中医药管理职能部门、完善管理体系的相关文件(政府三定方案或编办文件)。）</w:t>
            </w:r>
          </w:p>
        </w:tc>
        <w:tc>
          <w:tcPr>
            <w:tcW w:w="1261" w:type="dxa"/>
            <w:vAlign w:val="center"/>
          </w:tcPr>
          <w:p w14:paraId="07C94261">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03" w:type="dxa"/>
            <w:vAlign w:val="center"/>
          </w:tcPr>
          <w:p w14:paraId="0E36FF44">
            <w:pPr>
              <w:jc w:val="center"/>
              <w:textAlignment w:val="center"/>
              <w:rPr>
                <w:rStyle w:val="9"/>
                <w:rFonts w:hint="default" w:ascii="仿宋_GB2312" w:eastAsia="仿宋_GB2312"/>
                <w:snapToGrid w:val="0"/>
                <w:sz w:val="24"/>
              </w:rPr>
            </w:pPr>
            <w:r>
              <w:rPr>
                <w:rStyle w:val="9"/>
                <w:rFonts w:hint="default" w:ascii="仿宋_GB2312" w:eastAsia="仿宋_GB2312"/>
                <w:snapToGrid w:val="0"/>
                <w:sz w:val="24"/>
              </w:rPr>
              <w:t>区委编办</w:t>
            </w:r>
          </w:p>
          <w:p w14:paraId="1ACD03FF">
            <w:pPr>
              <w:jc w:val="center"/>
              <w:textAlignment w:val="center"/>
              <w:rPr>
                <w:rFonts w:hint="eastAsia" w:ascii="仿宋_GB2312" w:hAnsi="宋体" w:eastAsia="仿宋_GB2312" w:cs="宋体"/>
                <w:sz w:val="24"/>
              </w:rPr>
            </w:pPr>
            <w:r>
              <w:rPr>
                <w:rStyle w:val="9"/>
                <w:rFonts w:hint="default" w:ascii="仿宋_GB2312" w:eastAsia="仿宋_GB2312"/>
                <w:snapToGrid w:val="0"/>
                <w:sz w:val="24"/>
              </w:rPr>
              <w:t>区卫健局</w:t>
            </w:r>
          </w:p>
        </w:tc>
      </w:tr>
      <w:tr w14:paraId="619F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946" w:hRule="atLeast"/>
          <w:tblHeader/>
        </w:trPr>
        <w:tc>
          <w:tcPr>
            <w:tcW w:w="709" w:type="dxa"/>
            <w:vAlign w:val="center"/>
          </w:tcPr>
          <w:p w14:paraId="30F36725">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5</w:t>
            </w:r>
          </w:p>
        </w:tc>
        <w:tc>
          <w:tcPr>
            <w:tcW w:w="1261" w:type="dxa"/>
            <w:vMerge w:val="continue"/>
            <w:vAlign w:val="center"/>
          </w:tcPr>
          <w:p w14:paraId="364E5223">
            <w:pPr>
              <w:jc w:val="center"/>
              <w:rPr>
                <w:rFonts w:hint="eastAsia" w:ascii="仿宋_GB2312" w:hAnsi="宋体" w:eastAsia="仿宋_GB2312" w:cs="宋体"/>
                <w:sz w:val="24"/>
              </w:rPr>
            </w:pPr>
          </w:p>
        </w:tc>
        <w:tc>
          <w:tcPr>
            <w:tcW w:w="8692" w:type="dxa"/>
            <w:vAlign w:val="center"/>
          </w:tcPr>
          <w:p w14:paraId="753CFFEE">
            <w:pPr>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1．制定支持引进和培养中医药高端人才的政策。（提供近3年，引进和培养中医药人才名单。）</w:t>
            </w:r>
          </w:p>
          <w:p w14:paraId="1964B3B1">
            <w:pPr>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2．执行放宽长期服务基层的中医医师职称晋升条件的有关政策文件，对长期服务基层的中医医师职称晋升有倾斜政策。</w:t>
            </w:r>
          </w:p>
          <w:p w14:paraId="21CAD7CE">
            <w:pPr>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3．建立本地区中医师承培养制度，与职称评审、评优评先等挂钩。</w:t>
            </w:r>
          </w:p>
          <w:p w14:paraId="178B6E11">
            <w:pPr>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4．建立本区高年资中医师带徒制度，与职称评审、评优评先等挂钩相关文件。</w:t>
            </w:r>
          </w:p>
          <w:p w14:paraId="2D173B4A">
            <w:pPr>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5．完善公立中医医疗机构和公立基层医疗卫生机构薪酬制度相关文件。（区中医医院及基层机构政策落实情况，区中医医院及基层机构医务人员对以上政策及落实情况了解，相关部门主管领导对中医药政策了解。）</w:t>
            </w:r>
          </w:p>
          <w:p w14:paraId="185359F3">
            <w:pPr>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6．鼓励退休中医医师到基层服务。（查看二、三级医院退休中医师来基层机构的执业资质(含多点执业备案)和执业记录(含出勤等记录)。）</w:t>
            </w:r>
          </w:p>
        </w:tc>
        <w:tc>
          <w:tcPr>
            <w:tcW w:w="1261" w:type="dxa"/>
            <w:vAlign w:val="center"/>
          </w:tcPr>
          <w:p w14:paraId="1C5208DB">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03" w:type="dxa"/>
            <w:vAlign w:val="center"/>
          </w:tcPr>
          <w:p w14:paraId="4C5C4E65">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区委组织部</w:t>
            </w:r>
          </w:p>
          <w:p w14:paraId="49686996">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区人社局</w:t>
            </w:r>
          </w:p>
          <w:p w14:paraId="32C9F056">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区卫健局</w:t>
            </w:r>
          </w:p>
        </w:tc>
      </w:tr>
      <w:tr w14:paraId="4549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213" w:hRule="atLeast"/>
          <w:tblHeader/>
        </w:trPr>
        <w:tc>
          <w:tcPr>
            <w:tcW w:w="709" w:type="dxa"/>
            <w:vAlign w:val="center"/>
          </w:tcPr>
          <w:p w14:paraId="0E87E398">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6</w:t>
            </w:r>
          </w:p>
        </w:tc>
        <w:tc>
          <w:tcPr>
            <w:tcW w:w="1261" w:type="dxa"/>
            <w:vMerge w:val="restart"/>
            <w:vAlign w:val="center"/>
          </w:tcPr>
          <w:p w14:paraId="7ADC5FEC">
            <w:pPr>
              <w:jc w:val="center"/>
              <w:rPr>
                <w:rFonts w:hint="eastAsia" w:ascii="仿宋_GB2312" w:hAnsi="宋体" w:eastAsia="仿宋_GB2312" w:cs="宋体"/>
                <w:sz w:val="24"/>
              </w:rPr>
            </w:pPr>
            <w:r>
              <w:rPr>
                <w:rFonts w:hint="eastAsia" w:ascii="仿宋_GB2312" w:hAnsi="宋体" w:eastAsia="仿宋_GB2312" w:cs="宋体"/>
                <w:sz w:val="24"/>
              </w:rPr>
              <w:t>促进发展</w:t>
            </w:r>
          </w:p>
        </w:tc>
        <w:tc>
          <w:tcPr>
            <w:tcW w:w="8692" w:type="dxa"/>
            <w:vAlign w:val="center"/>
          </w:tcPr>
          <w:p w14:paraId="75087024">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1.加大财政支持力度，设立中医药财政专项，保障本区中医药事业发展。</w:t>
            </w:r>
          </w:p>
          <w:p w14:paraId="02BCA98F">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2.建立持续稳定的中医药发展多元投入机制。督促区财政部门落实中医药发展财政投入政策。除国家基本公共卫生服务项目经费之外，应有用于其他中医药健康管理服务项目的经费。</w:t>
            </w:r>
          </w:p>
          <w:p w14:paraId="68AFDCF2">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3.在区级公立医院综合改革中，落实政府对公立中医医院的投入倾斜政策，完善有利于中医药特色优势发挥的补偿机制。提高财政支持力度，区政府及财政部门出台的支持中医药事业发展的相关政策文件，将中医药事业发展经费纳入本级财政预算，设立中医药财政专项。</w:t>
            </w:r>
          </w:p>
          <w:p w14:paraId="2558599B">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4.建立持续稳定的中医药发展多元投入机制并有相关文件。（建立本区域基层中医药工作投入机制，评审年度前连续3年区财政对卫生事业费、中医药专项拨款明细中，中医药事业费连续3年占总卫生投入比例逐年递增，中医药事业费近3年平均占总卫生投入比例&gt;15%。相关部门主管领导对中医药政策了解。）</w:t>
            </w:r>
          </w:p>
        </w:tc>
        <w:tc>
          <w:tcPr>
            <w:tcW w:w="1261" w:type="dxa"/>
            <w:vAlign w:val="center"/>
          </w:tcPr>
          <w:p w14:paraId="4B29E95B">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03" w:type="dxa"/>
            <w:vAlign w:val="center"/>
          </w:tcPr>
          <w:p w14:paraId="67D1FAD9">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区财政局</w:t>
            </w:r>
          </w:p>
          <w:p w14:paraId="5947D520">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区卫健局</w:t>
            </w:r>
          </w:p>
        </w:tc>
      </w:tr>
      <w:tr w14:paraId="0F61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344" w:hRule="atLeast"/>
          <w:tblHeader/>
        </w:trPr>
        <w:tc>
          <w:tcPr>
            <w:tcW w:w="709" w:type="dxa"/>
            <w:vAlign w:val="center"/>
          </w:tcPr>
          <w:p w14:paraId="637A0003">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7</w:t>
            </w:r>
          </w:p>
        </w:tc>
        <w:tc>
          <w:tcPr>
            <w:tcW w:w="1261" w:type="dxa"/>
            <w:vMerge w:val="continue"/>
            <w:vAlign w:val="center"/>
          </w:tcPr>
          <w:p w14:paraId="696C9704">
            <w:pPr>
              <w:jc w:val="center"/>
              <w:rPr>
                <w:rFonts w:hint="eastAsia" w:ascii="仿宋_GB2312" w:hAnsi="宋体" w:eastAsia="仿宋_GB2312" w:cs="宋体"/>
                <w:sz w:val="24"/>
              </w:rPr>
            </w:pPr>
          </w:p>
        </w:tc>
        <w:tc>
          <w:tcPr>
            <w:tcW w:w="8692" w:type="dxa"/>
            <w:vAlign w:val="center"/>
          </w:tcPr>
          <w:p w14:paraId="5ED27798">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1.根据本区的医疗服务规划，监督和保障本区域中医诊疗中心和公立中医医疗机构用地的规划、审批。</w:t>
            </w:r>
          </w:p>
          <w:p w14:paraId="6F91A4A9">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2.根据本区的医疗服务规划，保障本区域中医诊疗中心和公立中医医疗机构用地的规划，审批。（查阅到本区域中医诊疗中心或公立中医医疗机构用地的规划和审批审批资料，相关部门主管领导对中医医疗机构设置规划等政策了解。）</w:t>
            </w:r>
          </w:p>
        </w:tc>
        <w:tc>
          <w:tcPr>
            <w:tcW w:w="1261" w:type="dxa"/>
            <w:vAlign w:val="center"/>
          </w:tcPr>
          <w:p w14:paraId="729A3FCE">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03" w:type="dxa"/>
            <w:vAlign w:val="center"/>
          </w:tcPr>
          <w:p w14:paraId="0D9A41E9">
            <w:pPr>
              <w:jc w:val="center"/>
              <w:textAlignment w:val="center"/>
              <w:rPr>
                <w:rFonts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资源规划雁塔</w:t>
            </w:r>
          </w:p>
          <w:p w14:paraId="31B3772B">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分局</w:t>
            </w:r>
          </w:p>
          <w:p w14:paraId="1E7377A0">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区卫健局</w:t>
            </w:r>
          </w:p>
        </w:tc>
      </w:tr>
      <w:tr w14:paraId="29B3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blHeader/>
        </w:trPr>
        <w:tc>
          <w:tcPr>
            <w:tcW w:w="709" w:type="dxa"/>
            <w:vAlign w:val="center"/>
          </w:tcPr>
          <w:p w14:paraId="36D14367">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8</w:t>
            </w:r>
          </w:p>
        </w:tc>
        <w:tc>
          <w:tcPr>
            <w:tcW w:w="1261" w:type="dxa"/>
            <w:vMerge w:val="continue"/>
            <w:vAlign w:val="center"/>
          </w:tcPr>
          <w:p w14:paraId="4BC7FE08">
            <w:pPr>
              <w:jc w:val="center"/>
              <w:textAlignment w:val="center"/>
              <w:rPr>
                <w:rFonts w:hint="eastAsia" w:ascii="仿宋_GB2312" w:hAnsi="宋体" w:eastAsia="仿宋_GB2312" w:cs="宋体"/>
                <w:sz w:val="24"/>
              </w:rPr>
            </w:pPr>
          </w:p>
        </w:tc>
        <w:tc>
          <w:tcPr>
            <w:tcW w:w="8692" w:type="dxa"/>
            <w:vAlign w:val="center"/>
          </w:tcPr>
          <w:p w14:paraId="6CA6AF6B">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1.完善医疗保障支持中医药发展政策，建立以临床价值和技术劳务价值为主要依据的中医医疗服务技术评估体系，定期调整优化中医医疗服务项目及服务价格。</w:t>
            </w:r>
          </w:p>
          <w:p w14:paraId="14130B56">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2.组织制定适宜的中医药诊疗支付方式，推动区级医保对中医药服务的优惠政策。（查阅向上级有关部门提出调整价格的建议的相关资料。鼓励医保部门出台支持中医药服务的政策，有相关文件及支撑资料。）</w:t>
            </w:r>
          </w:p>
        </w:tc>
        <w:tc>
          <w:tcPr>
            <w:tcW w:w="1261" w:type="dxa"/>
            <w:vAlign w:val="center"/>
          </w:tcPr>
          <w:p w14:paraId="6A687524">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区政府</w:t>
            </w:r>
          </w:p>
        </w:tc>
        <w:tc>
          <w:tcPr>
            <w:tcW w:w="1915" w:type="dxa"/>
            <w:gridSpan w:val="2"/>
            <w:vAlign w:val="center"/>
          </w:tcPr>
          <w:p w14:paraId="13BB83AE">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区医保局</w:t>
            </w:r>
          </w:p>
          <w:p w14:paraId="08710530">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区卫健局</w:t>
            </w:r>
          </w:p>
        </w:tc>
      </w:tr>
      <w:tr w14:paraId="2B50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blHeader/>
        </w:trPr>
        <w:tc>
          <w:tcPr>
            <w:tcW w:w="709" w:type="dxa"/>
            <w:vAlign w:val="center"/>
          </w:tcPr>
          <w:p w14:paraId="1FCA0A0D">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9</w:t>
            </w:r>
          </w:p>
        </w:tc>
        <w:tc>
          <w:tcPr>
            <w:tcW w:w="1261" w:type="dxa"/>
            <w:vMerge w:val="restart"/>
            <w:vAlign w:val="center"/>
          </w:tcPr>
          <w:p w14:paraId="28ACAB8F">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促进发展</w:t>
            </w:r>
          </w:p>
        </w:tc>
        <w:tc>
          <w:tcPr>
            <w:tcW w:w="8692" w:type="dxa"/>
            <w:vAlign w:val="center"/>
          </w:tcPr>
          <w:p w14:paraId="690AAFBB">
            <w:pPr>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贯彻落实中医药医疗保障相关政策。定期调研，听取区医保局反映的基层中医医疗机构需求，将疗效和成本有优势的中医医疗服务项目、费用和价格等调整事项，向地市和省级医保部门报请批准。审批医保单位时简化申请程序，开辟绿色通道，优先考虑中医医疗机构。</w:t>
            </w:r>
          </w:p>
          <w:p w14:paraId="11D50272">
            <w:pPr>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查阅对本区基层中医医疗机构具有显著疗效和成本优势的中医药服务项目进行调研研究的相关资料。查阅将本区具有显著疗效和成本优势的中医药服务项目上报地市和省级医保部门的相关资料。查阅向上级有关部门提出调整价格的建议的相关资料。相关部门主管领导了解中医药相关政策。）</w:t>
            </w:r>
          </w:p>
        </w:tc>
        <w:tc>
          <w:tcPr>
            <w:tcW w:w="1261" w:type="dxa"/>
            <w:vAlign w:val="center"/>
          </w:tcPr>
          <w:p w14:paraId="0A0068E9">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15" w:type="dxa"/>
            <w:gridSpan w:val="2"/>
            <w:vAlign w:val="center"/>
          </w:tcPr>
          <w:p w14:paraId="5FAAAFD9">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区医保局</w:t>
            </w:r>
          </w:p>
          <w:p w14:paraId="3F3737EA">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区卫健局</w:t>
            </w:r>
          </w:p>
        </w:tc>
      </w:tr>
      <w:tr w14:paraId="4A88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blHeader/>
        </w:trPr>
        <w:tc>
          <w:tcPr>
            <w:tcW w:w="709" w:type="dxa"/>
            <w:vAlign w:val="center"/>
          </w:tcPr>
          <w:p w14:paraId="077C7AA7">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10</w:t>
            </w:r>
          </w:p>
        </w:tc>
        <w:tc>
          <w:tcPr>
            <w:tcW w:w="1261" w:type="dxa"/>
            <w:vMerge w:val="continue"/>
            <w:vAlign w:val="center"/>
          </w:tcPr>
          <w:p w14:paraId="5EA35057">
            <w:pPr>
              <w:jc w:val="center"/>
              <w:rPr>
                <w:rFonts w:hint="eastAsia" w:ascii="仿宋_GB2312" w:hAnsi="宋体" w:eastAsia="仿宋_GB2312" w:cs="宋体"/>
                <w:sz w:val="24"/>
              </w:rPr>
            </w:pPr>
          </w:p>
        </w:tc>
        <w:tc>
          <w:tcPr>
            <w:tcW w:w="8692" w:type="dxa"/>
            <w:vAlign w:val="center"/>
          </w:tcPr>
          <w:p w14:paraId="2E6E052A">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1.加强中药质量安全监管。</w:t>
            </w:r>
          </w:p>
          <w:p w14:paraId="5A1C45A8">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2.支持本市院内中药制剂发展，制定推广使用标准，并进行质量监管。鼓励提供特色中药剂型服务。（查阅本区支持院内中医药制剂发展的相关政策文件和推广本区医疗机构中医制剂相关资料，以及监管工作记录。实地查看本区域医疗机构制剂和推广使用记录。）</w:t>
            </w:r>
          </w:p>
        </w:tc>
        <w:tc>
          <w:tcPr>
            <w:tcW w:w="1261" w:type="dxa"/>
            <w:vAlign w:val="center"/>
          </w:tcPr>
          <w:p w14:paraId="42AE1CE1">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15" w:type="dxa"/>
            <w:gridSpan w:val="2"/>
            <w:vAlign w:val="center"/>
          </w:tcPr>
          <w:p w14:paraId="198B1E02">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区市场监管局</w:t>
            </w:r>
          </w:p>
          <w:p w14:paraId="25CD6F60">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区卫健局</w:t>
            </w:r>
          </w:p>
        </w:tc>
      </w:tr>
      <w:tr w14:paraId="3E6A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blHeader/>
        </w:trPr>
        <w:tc>
          <w:tcPr>
            <w:tcW w:w="709" w:type="dxa"/>
            <w:vAlign w:val="center"/>
          </w:tcPr>
          <w:p w14:paraId="1E0E667E">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11</w:t>
            </w:r>
          </w:p>
        </w:tc>
        <w:tc>
          <w:tcPr>
            <w:tcW w:w="1261" w:type="dxa"/>
            <w:vMerge w:val="continue"/>
            <w:vAlign w:val="center"/>
          </w:tcPr>
          <w:p w14:paraId="4FEC7BED">
            <w:pPr>
              <w:jc w:val="center"/>
              <w:rPr>
                <w:rFonts w:hint="eastAsia" w:ascii="仿宋_GB2312" w:hAnsi="宋体" w:eastAsia="仿宋_GB2312" w:cs="宋体"/>
                <w:sz w:val="24"/>
              </w:rPr>
            </w:pPr>
          </w:p>
        </w:tc>
        <w:tc>
          <w:tcPr>
            <w:tcW w:w="8692" w:type="dxa"/>
            <w:vAlign w:val="center"/>
          </w:tcPr>
          <w:p w14:paraId="3D60D1DC">
            <w:pPr>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支持中医药信息化建设，改善各级医疗卫生机构信息化基础条件。推进基层中医药信息建设，加快基层医疗卫生机构中医药信息规范化进程。（查阅本区域中医药信息化基础建设资料。现场查看区中医医院及基层医疗卫生机构信息化建设符合规范。）</w:t>
            </w:r>
          </w:p>
        </w:tc>
        <w:tc>
          <w:tcPr>
            <w:tcW w:w="1261" w:type="dxa"/>
            <w:vAlign w:val="center"/>
          </w:tcPr>
          <w:p w14:paraId="52CFF786">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15" w:type="dxa"/>
            <w:gridSpan w:val="2"/>
            <w:vAlign w:val="center"/>
          </w:tcPr>
          <w:p w14:paraId="10BF80B7">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区大数据服务中心</w:t>
            </w:r>
          </w:p>
          <w:p w14:paraId="7EEF30A1">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区卫健局</w:t>
            </w:r>
          </w:p>
        </w:tc>
      </w:tr>
      <w:tr w14:paraId="7D3C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blHeader/>
        </w:trPr>
        <w:tc>
          <w:tcPr>
            <w:tcW w:w="709" w:type="dxa"/>
            <w:vAlign w:val="center"/>
          </w:tcPr>
          <w:p w14:paraId="7550EBFC">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12</w:t>
            </w:r>
          </w:p>
        </w:tc>
        <w:tc>
          <w:tcPr>
            <w:tcW w:w="1261" w:type="dxa"/>
            <w:vMerge w:val="continue"/>
            <w:vAlign w:val="center"/>
          </w:tcPr>
          <w:p w14:paraId="18172CE7">
            <w:pPr>
              <w:jc w:val="center"/>
              <w:rPr>
                <w:rFonts w:hint="eastAsia" w:ascii="仿宋_GB2312" w:hAnsi="宋体" w:eastAsia="仿宋_GB2312" w:cs="宋体"/>
                <w:sz w:val="24"/>
              </w:rPr>
            </w:pPr>
          </w:p>
        </w:tc>
        <w:tc>
          <w:tcPr>
            <w:tcW w:w="8692" w:type="dxa"/>
            <w:vAlign w:val="center"/>
          </w:tcPr>
          <w:p w14:paraId="0734C2B9">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1.将中医药科技发展纳入本区科技发展的总体规划。（制定支持促进本区中医药科技发展的政策措施和科研规划，查阅本区科技发展的总体规划中中医药科技发展内容和政策措施。）</w:t>
            </w:r>
          </w:p>
          <w:p w14:paraId="79FA6CE6">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2.积极组织申报市级及以上中医药科研项目，组织本区中医药科研项目，促进本区中医药科技发展。建立科技主管部门与中医药主管部门协同联动的管理机制。（查阅3年内中医药科研项目申报、立项等资料(含本级及上一级项目)。）</w:t>
            </w:r>
          </w:p>
        </w:tc>
        <w:tc>
          <w:tcPr>
            <w:tcW w:w="1261" w:type="dxa"/>
            <w:vAlign w:val="center"/>
          </w:tcPr>
          <w:p w14:paraId="35E19A80">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15" w:type="dxa"/>
            <w:gridSpan w:val="2"/>
            <w:vAlign w:val="center"/>
          </w:tcPr>
          <w:p w14:paraId="7C071BE5">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区科工局</w:t>
            </w:r>
          </w:p>
          <w:p w14:paraId="29D52BAE">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区卫健局</w:t>
            </w:r>
          </w:p>
        </w:tc>
      </w:tr>
      <w:tr w14:paraId="5E41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blHeader/>
        </w:trPr>
        <w:tc>
          <w:tcPr>
            <w:tcW w:w="709" w:type="dxa"/>
            <w:vAlign w:val="center"/>
          </w:tcPr>
          <w:p w14:paraId="6B9970C8">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13</w:t>
            </w:r>
          </w:p>
        </w:tc>
        <w:tc>
          <w:tcPr>
            <w:tcW w:w="1261" w:type="dxa"/>
            <w:vMerge w:val="restart"/>
            <w:vAlign w:val="center"/>
          </w:tcPr>
          <w:p w14:paraId="5CC41E02">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促进发展</w:t>
            </w:r>
          </w:p>
        </w:tc>
        <w:tc>
          <w:tcPr>
            <w:tcW w:w="8692" w:type="dxa"/>
            <w:vAlign w:val="center"/>
          </w:tcPr>
          <w:p w14:paraId="792AC0F4">
            <w:pPr>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制定中医药文化旅游计划，组织和指导开展本区域中医药文化旅游项目，作为促进本区域旅游产业特色优势和组成部分，推动本市的中医药文旅产业融合发展。组织开展本区中医药文化旅游项目，促进本区域中医药专业机构、中医药文化宣传教育基地等与中医药文化健康产业融合发展。（查阅本区组织开展中医药文化旅游项目等相关工作资料。现场查看本区域中医药文化宣传基地等。）</w:t>
            </w:r>
          </w:p>
        </w:tc>
        <w:tc>
          <w:tcPr>
            <w:tcW w:w="1261" w:type="dxa"/>
            <w:vAlign w:val="center"/>
          </w:tcPr>
          <w:p w14:paraId="0FA66B16">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15" w:type="dxa"/>
            <w:gridSpan w:val="2"/>
            <w:vAlign w:val="center"/>
          </w:tcPr>
          <w:p w14:paraId="0730D1A7">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区文旅局</w:t>
            </w:r>
          </w:p>
          <w:p w14:paraId="4021FEEF">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区卫健局</w:t>
            </w:r>
          </w:p>
        </w:tc>
      </w:tr>
      <w:tr w14:paraId="4BAC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blHeader/>
        </w:trPr>
        <w:tc>
          <w:tcPr>
            <w:tcW w:w="709" w:type="dxa"/>
            <w:vAlign w:val="center"/>
          </w:tcPr>
          <w:p w14:paraId="4580C901">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14</w:t>
            </w:r>
          </w:p>
        </w:tc>
        <w:tc>
          <w:tcPr>
            <w:tcW w:w="1261" w:type="dxa"/>
            <w:vMerge w:val="continue"/>
            <w:vAlign w:val="center"/>
          </w:tcPr>
          <w:p w14:paraId="3F2ED633">
            <w:pPr>
              <w:jc w:val="center"/>
              <w:rPr>
                <w:rFonts w:hint="eastAsia" w:ascii="仿宋_GB2312" w:hAnsi="宋体" w:eastAsia="仿宋_GB2312" w:cs="宋体"/>
                <w:sz w:val="24"/>
              </w:rPr>
            </w:pPr>
          </w:p>
        </w:tc>
        <w:tc>
          <w:tcPr>
            <w:tcW w:w="8692" w:type="dxa"/>
            <w:vAlign w:val="center"/>
          </w:tcPr>
          <w:p w14:paraId="2F04EF73">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1.制定开展传统健身活动计划，普及和推广太极拳、八段锦等养生保健方法。督导和推动各街道、村、社区开展中医体育活动。</w:t>
            </w:r>
          </w:p>
          <w:p w14:paraId="60DE0C72">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2.组织本区域内各街道、村及社区开展传统健身活动。（大力普及和推广太极拳、八段锦等养生保健方法。查阅本区域内街道开展传统养生保健活动相关活动内容和资料。）</w:t>
            </w:r>
          </w:p>
        </w:tc>
        <w:tc>
          <w:tcPr>
            <w:tcW w:w="1261" w:type="dxa"/>
            <w:vAlign w:val="center"/>
          </w:tcPr>
          <w:p w14:paraId="5E6DCC2A">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15" w:type="dxa"/>
            <w:gridSpan w:val="2"/>
            <w:vAlign w:val="center"/>
          </w:tcPr>
          <w:p w14:paraId="055A38D8">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区文旅局</w:t>
            </w:r>
          </w:p>
          <w:p w14:paraId="1B811AD8">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区卫健局</w:t>
            </w:r>
          </w:p>
        </w:tc>
      </w:tr>
      <w:tr w14:paraId="7233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blHeader/>
        </w:trPr>
        <w:tc>
          <w:tcPr>
            <w:tcW w:w="709" w:type="dxa"/>
            <w:vAlign w:val="center"/>
          </w:tcPr>
          <w:p w14:paraId="09B6FFB8">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15</w:t>
            </w:r>
          </w:p>
        </w:tc>
        <w:tc>
          <w:tcPr>
            <w:tcW w:w="1261" w:type="dxa"/>
            <w:vAlign w:val="center"/>
          </w:tcPr>
          <w:p w14:paraId="1E004A3E">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人才队伍建设</w:t>
            </w:r>
          </w:p>
        </w:tc>
        <w:tc>
          <w:tcPr>
            <w:tcW w:w="8692" w:type="dxa"/>
            <w:vAlign w:val="center"/>
          </w:tcPr>
          <w:p w14:paraId="5C3CF934">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全区医疗卫生服务体系健全，机构设置、千人口医疗卫生机构床位数、每千常住人口执业(助理)医师数和注册护士数、每千常住人口公共卫生人员数、每万常住人口全科医生数、医护比、中医药人员占比等指标符合所在地区域卫生规划要求。达到城乡每万名居民有0.6-0.8名合格的中医类别全科医生。区域医疗卫生服务体系健全，千人口医疗卫生机构床位数、每千常住人口执业(助理)医师数和注册护士数、每千常住人口公共卫生人员数、每万常住人口全科医生数、医护比、中医药人员占比等指标符合所在地区域卫生规划要求。</w:t>
            </w:r>
          </w:p>
          <w:p w14:paraId="0A2C4012">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2.达到城乡每万名居民有0.6-0.8名合格的中医类别全科医生。（查阅区域医疗卫生服务体系，千人口医疗卫生机构床位数、每千常住人口执业(助理)医师数和注册护士数、 每千常住人口公共卫生人员数、每万常住人口全科医生数、医护比、中医药人员占比等相关数据。）</w:t>
            </w:r>
          </w:p>
        </w:tc>
        <w:tc>
          <w:tcPr>
            <w:tcW w:w="1261" w:type="dxa"/>
            <w:vAlign w:val="center"/>
          </w:tcPr>
          <w:p w14:paraId="1512A3E6">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15" w:type="dxa"/>
            <w:gridSpan w:val="2"/>
            <w:vAlign w:val="center"/>
          </w:tcPr>
          <w:p w14:paraId="4D0BB7A6">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区行政审批局</w:t>
            </w:r>
          </w:p>
          <w:p w14:paraId="1F91C450">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区委编办</w:t>
            </w:r>
          </w:p>
          <w:p w14:paraId="6E1B2E3D">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区人社局</w:t>
            </w:r>
          </w:p>
          <w:p w14:paraId="43A1B8B7">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区卫健局</w:t>
            </w:r>
          </w:p>
        </w:tc>
      </w:tr>
      <w:tr w14:paraId="035C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blHeader/>
        </w:trPr>
        <w:tc>
          <w:tcPr>
            <w:tcW w:w="709" w:type="dxa"/>
            <w:vAlign w:val="center"/>
          </w:tcPr>
          <w:p w14:paraId="6D93D4A3">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16</w:t>
            </w:r>
          </w:p>
        </w:tc>
        <w:tc>
          <w:tcPr>
            <w:tcW w:w="1261" w:type="dxa"/>
            <w:vMerge w:val="restart"/>
            <w:vAlign w:val="center"/>
          </w:tcPr>
          <w:p w14:paraId="2BBB5C26">
            <w:pPr>
              <w:jc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人才队伍建设</w:t>
            </w:r>
          </w:p>
        </w:tc>
        <w:tc>
          <w:tcPr>
            <w:tcW w:w="8692" w:type="dxa"/>
            <w:vAlign w:val="center"/>
          </w:tcPr>
          <w:p w14:paraId="3A61ED4F">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w:t>
            </w:r>
            <w:r>
              <w:rPr>
                <w:rFonts w:ascii="仿宋_GB2312" w:hAnsi="宋体" w:eastAsia="仿宋_GB2312" w:cs="宋体"/>
                <w:snapToGrid w:val="0"/>
                <w:color w:val="000000"/>
                <w:kern w:val="0"/>
                <w:sz w:val="24"/>
              </w:rPr>
              <w:t>.</w:t>
            </w:r>
            <w:r>
              <w:rPr>
                <w:rFonts w:hint="eastAsia" w:ascii="仿宋_GB2312" w:hAnsi="宋体" w:eastAsia="仿宋_GB2312" w:cs="宋体"/>
                <w:snapToGrid w:val="0"/>
                <w:color w:val="000000"/>
                <w:kern w:val="0"/>
                <w:sz w:val="24"/>
              </w:rPr>
              <w:t>区中医医院中医类别医师占本机构医师总数的比例达到60%以上。</w:t>
            </w:r>
          </w:p>
          <w:p w14:paraId="70F24784">
            <w:pPr>
              <w:widowControl/>
              <w:kinsoku w:val="0"/>
              <w:autoSpaceDE w:val="0"/>
              <w:autoSpaceDN w:val="0"/>
              <w:adjustRightInd w:val="0"/>
              <w:snapToGrid w:val="0"/>
              <w:ind w:firstLine="480" w:firstLineChars="200"/>
              <w:jc w:val="left"/>
              <w:textAlignment w:val="center"/>
              <w:rPr>
                <w:rFonts w:hint="eastAsia" w:ascii="仿宋_GB2312" w:hAnsi="宋体" w:eastAsia="仿宋_GB2312" w:cs="宋体"/>
                <w:sz w:val="24"/>
              </w:rPr>
            </w:pPr>
            <w:r>
              <w:rPr>
                <w:rFonts w:ascii="仿宋_GB2312" w:hAnsi="宋体" w:eastAsia="仿宋_GB2312" w:cs="宋体"/>
                <w:snapToGrid w:val="0"/>
                <w:color w:val="000000"/>
                <w:kern w:val="0"/>
                <w:sz w:val="24"/>
              </w:rPr>
              <w:t>2.</w:t>
            </w:r>
            <w:r>
              <w:rPr>
                <w:rFonts w:hint="eastAsia" w:ascii="仿宋_GB2312" w:hAnsi="宋体" w:eastAsia="仿宋_GB2312" w:cs="宋体"/>
                <w:snapToGrid w:val="0"/>
                <w:color w:val="000000"/>
                <w:kern w:val="0"/>
                <w:sz w:val="24"/>
              </w:rPr>
              <w:t>100%的社区卫生服务中心中医类别医师(包括执业注册在社区卫生服务中心的其他医疗机构在职和退休中医人员)占本机构医师总数的比例达到 25%以上；其中每个社区卫生服务中心至少有2名中级以上专业技术职务任职资格的中医类别医师。（经信息化评审和现场抽查，人员配备均达到标准。区域内区级中医医院、社区卫生服务中心、社区卫生服务站以及有条件的村卫生室合理配备中医药专业技术人员。现场核实区中医医院和基层医疗卫生机构人员配备情况达标准。）</w:t>
            </w:r>
          </w:p>
        </w:tc>
        <w:tc>
          <w:tcPr>
            <w:tcW w:w="1261" w:type="dxa"/>
            <w:vAlign w:val="center"/>
          </w:tcPr>
          <w:p w14:paraId="3D5E8DAE">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15" w:type="dxa"/>
            <w:gridSpan w:val="2"/>
            <w:vAlign w:val="center"/>
          </w:tcPr>
          <w:p w14:paraId="3B5BED44">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区委编办</w:t>
            </w:r>
          </w:p>
          <w:p w14:paraId="56C73FFA">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区人社局</w:t>
            </w:r>
          </w:p>
          <w:p w14:paraId="07215A11">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 xml:space="preserve"> 区卫健局</w:t>
            </w:r>
          </w:p>
        </w:tc>
      </w:tr>
      <w:tr w14:paraId="390F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blHeader/>
        </w:trPr>
        <w:tc>
          <w:tcPr>
            <w:tcW w:w="709" w:type="dxa"/>
            <w:vAlign w:val="center"/>
          </w:tcPr>
          <w:p w14:paraId="72651A1A">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17</w:t>
            </w:r>
          </w:p>
        </w:tc>
        <w:tc>
          <w:tcPr>
            <w:tcW w:w="1261" w:type="dxa"/>
            <w:vMerge w:val="continue"/>
            <w:vAlign w:val="center"/>
          </w:tcPr>
          <w:p w14:paraId="4ACCD82B">
            <w:pPr>
              <w:jc w:val="center"/>
              <w:rPr>
                <w:rFonts w:hint="eastAsia" w:ascii="仿宋_GB2312" w:hAnsi="宋体" w:eastAsia="仿宋_GB2312" w:cs="宋体"/>
                <w:sz w:val="24"/>
              </w:rPr>
            </w:pPr>
          </w:p>
        </w:tc>
        <w:tc>
          <w:tcPr>
            <w:tcW w:w="8692" w:type="dxa"/>
            <w:vAlign w:val="center"/>
          </w:tcPr>
          <w:p w14:paraId="45D2BD43">
            <w:pPr>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100%的社区卫生服务站至少配备1名中医类别医师或能够提供中医药服务的临床类别医师；100%的村卫生室至少配备1名能够提供中医药服务的乡村医生或中医类别(临床类别)医师或乡村全科执业助理医师。（经信息化评审和现场抽查，人员配备均达到标准。查看中医医院医疗质量监测中心提供的相关数据。(村卫生室相关指标数据由申报区根据现有统计数据提供)）</w:t>
            </w:r>
          </w:p>
        </w:tc>
        <w:tc>
          <w:tcPr>
            <w:tcW w:w="1261" w:type="dxa"/>
            <w:vAlign w:val="center"/>
          </w:tcPr>
          <w:p w14:paraId="264F0C4C">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15" w:type="dxa"/>
            <w:gridSpan w:val="2"/>
            <w:vAlign w:val="center"/>
          </w:tcPr>
          <w:p w14:paraId="252F815B">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区人社局</w:t>
            </w:r>
          </w:p>
          <w:p w14:paraId="1A6E6448">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区卫健局</w:t>
            </w:r>
          </w:p>
        </w:tc>
      </w:tr>
      <w:tr w14:paraId="0ED9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blHeader/>
        </w:trPr>
        <w:tc>
          <w:tcPr>
            <w:tcW w:w="709" w:type="dxa"/>
            <w:vAlign w:val="center"/>
          </w:tcPr>
          <w:p w14:paraId="24CF4828">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18</w:t>
            </w:r>
          </w:p>
        </w:tc>
        <w:tc>
          <w:tcPr>
            <w:tcW w:w="1261" w:type="dxa"/>
            <w:vMerge w:val="continue"/>
            <w:vAlign w:val="center"/>
          </w:tcPr>
          <w:p w14:paraId="68CBAFA9">
            <w:pPr>
              <w:jc w:val="center"/>
              <w:rPr>
                <w:rFonts w:hint="eastAsia" w:ascii="仿宋_GB2312" w:hAnsi="宋体" w:eastAsia="仿宋_GB2312" w:cs="宋体"/>
                <w:sz w:val="24"/>
              </w:rPr>
            </w:pPr>
          </w:p>
        </w:tc>
        <w:tc>
          <w:tcPr>
            <w:tcW w:w="8692" w:type="dxa"/>
            <w:vAlign w:val="center"/>
          </w:tcPr>
          <w:p w14:paraId="32A4E31A">
            <w:pPr>
              <w:ind w:firstLine="480" w:firstLineChars="200"/>
              <w:jc w:val="left"/>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加强对中医药服务质量的评估和监管，对执行中医药行业标准和技术规范、合理用药、落实核心制度等进行监督检查，督促基层医疗机构规范服务行为，提高服务质量，保证医疗安全。（查阅本区域基层中医药服务质量的评估和监管的相关文件。）</w:t>
            </w:r>
          </w:p>
        </w:tc>
        <w:tc>
          <w:tcPr>
            <w:tcW w:w="1261" w:type="dxa"/>
            <w:vAlign w:val="center"/>
          </w:tcPr>
          <w:p w14:paraId="7192F503">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区政府</w:t>
            </w:r>
          </w:p>
        </w:tc>
        <w:tc>
          <w:tcPr>
            <w:tcW w:w="1915" w:type="dxa"/>
            <w:gridSpan w:val="2"/>
            <w:vAlign w:val="center"/>
          </w:tcPr>
          <w:p w14:paraId="0F9BD8D1">
            <w:pPr>
              <w:jc w:val="center"/>
              <w:textAlignment w:val="center"/>
              <w:rPr>
                <w:rFonts w:hint="eastAsia" w:ascii="仿宋_GB2312" w:hAnsi="宋体" w:eastAsia="仿宋_GB2312" w:cs="宋体"/>
                <w:snapToGrid w:val="0"/>
                <w:color w:val="000000"/>
                <w:kern w:val="0"/>
                <w:sz w:val="24"/>
              </w:rPr>
            </w:pPr>
            <w:r>
              <w:rPr>
                <w:rFonts w:hint="eastAsia" w:ascii="仿宋_GB2312" w:hAnsi="宋体" w:eastAsia="仿宋_GB2312" w:cs="宋体"/>
                <w:snapToGrid w:val="0"/>
                <w:color w:val="000000"/>
                <w:kern w:val="0"/>
                <w:sz w:val="24"/>
              </w:rPr>
              <w:t>区市场监管局</w:t>
            </w:r>
          </w:p>
          <w:p w14:paraId="18D26247">
            <w:pPr>
              <w:jc w:val="center"/>
              <w:textAlignment w:val="center"/>
              <w:rPr>
                <w:rFonts w:hint="eastAsia" w:ascii="仿宋_GB2312" w:hAnsi="宋体" w:eastAsia="仿宋_GB2312" w:cs="宋体"/>
                <w:sz w:val="24"/>
              </w:rPr>
            </w:pPr>
            <w:r>
              <w:rPr>
                <w:rFonts w:hint="eastAsia" w:ascii="仿宋_GB2312" w:hAnsi="宋体" w:eastAsia="仿宋_GB2312" w:cs="宋体"/>
                <w:snapToGrid w:val="0"/>
                <w:color w:val="000000"/>
                <w:kern w:val="0"/>
                <w:sz w:val="24"/>
              </w:rPr>
              <w:t>区卫健局</w:t>
            </w:r>
          </w:p>
        </w:tc>
      </w:tr>
    </w:tbl>
    <w:p w14:paraId="67CAD88A">
      <w:pPr>
        <w:jc w:val="center"/>
      </w:pPr>
    </w:p>
    <w:p w14:paraId="5FB1F44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C3852"/>
    <w:rsid w:val="001E0C6D"/>
    <w:rsid w:val="00DC3852"/>
    <w:rsid w:val="6222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 Char Char Char Char Char1 Char Char Char Char Char Char Char Char Char1 Char Char Char Char Char Char Char Char Char Char Char Char Char Char Char1 Char Char Char Char Char Char1 Char"/>
    <w:basedOn w:val="1"/>
    <w:uiPriority w:val="0"/>
    <w:pPr>
      <w:spacing w:line="360" w:lineRule="auto"/>
    </w:pPr>
    <w:rPr>
      <w:rFonts w:ascii="仿宋_GB2312" w:eastAsia="仿宋_GB2312"/>
      <w:b/>
      <w:sz w:val="32"/>
      <w:szCs w:val="32"/>
    </w:rPr>
  </w:style>
  <w:style w:type="character" w:customStyle="1" w:styleId="9">
    <w:name w:val="font0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3940</Words>
  <Characters>3998</Characters>
  <Lines>29</Lines>
  <Paragraphs>8</Paragraphs>
  <TotalTime>1</TotalTime>
  <ScaleCrop>false</ScaleCrop>
  <LinksUpToDate>false</LinksUpToDate>
  <CharactersWithSpaces>4010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2023-05-12T08:01:00Z</dcterms:created>
  <dc:creator>北大软件</dc:creator>
  <cp:lastModifiedBy>n</cp:lastModifiedBy>
  <dcterms:modified xsi:type="dcterms:W3CDTF">2026-01-19T02:28:50Z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eyJoZGlkIjoiOTU0MjRlMTZmZjlmZGMyMTRjOWUxNzQwNDRjMDU2OWMiLCJ1c2VySWQiOiI1NTU0MjA4NDQifQ==</vt:lpwstr>
  </property>
  <property fmtid="{D5CDD505-2E9C-101B-9397-08002B2CF9AE}" pid="3" name="KSOProductBuildVer">
    <vt:lpwstr>2052-12.1.0.23125</vt:lpwstr>
  </property>
  <property fmtid="{D5CDD505-2E9C-101B-9397-08002B2CF9AE}" pid="4" name="ICV">
    <vt:lpwstr>ED14772E65EA41F484CF564589240379_12</vt:lpwstr>
  </property>
</Properties>
</file>