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7" w:lineRule="exact"/>
        <w:rPr>
          <w:rFonts w:ascii="Times New Roman" w:hAnsi="Times New Roman" w:eastAsia="黑体" w:cs="Times New Roman"/>
          <w:sz w:val="32"/>
          <w:szCs w:val="32"/>
        </w:rPr>
      </w:pPr>
      <w:bookmarkStart w:id="5" w:name="_GoBack"/>
      <w:bookmarkEnd w:id="5"/>
      <w:r>
        <w:rPr>
          <w:rFonts w:ascii="Times New Roman" w:hAnsi="Times New Roman" w:eastAsia="黑体" w:cs="Times New Roman"/>
          <w:sz w:val="32"/>
          <w:szCs w:val="32"/>
        </w:rPr>
        <w:t xml:space="preserve">附件 </w:t>
      </w:r>
    </w:p>
    <w:p>
      <w:pPr>
        <w:spacing w:line="59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西安市雁塔区综合性涉企收费目录清单</w:t>
      </w:r>
    </w:p>
    <w:tbl>
      <w:tblPr>
        <w:tblStyle w:val="5"/>
        <w:tblW w:w="14074"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727"/>
        <w:gridCol w:w="1005"/>
        <w:gridCol w:w="764"/>
        <w:gridCol w:w="777"/>
        <w:gridCol w:w="723"/>
        <w:gridCol w:w="954"/>
        <w:gridCol w:w="669"/>
        <w:gridCol w:w="1281"/>
        <w:gridCol w:w="1078"/>
        <w:gridCol w:w="1077"/>
        <w:gridCol w:w="13"/>
        <w:gridCol w:w="957"/>
        <w:gridCol w:w="39"/>
        <w:gridCol w:w="103"/>
        <w:gridCol w:w="442"/>
        <w:gridCol w:w="969"/>
        <w:gridCol w:w="1393"/>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72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部门名称</w:t>
            </w:r>
          </w:p>
        </w:tc>
        <w:tc>
          <w:tcPr>
            <w:tcW w:w="10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收费单位名称</w:t>
            </w:r>
          </w:p>
        </w:tc>
        <w:tc>
          <w:tcPr>
            <w:tcW w:w="764"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单位性质</w:t>
            </w:r>
          </w:p>
        </w:tc>
        <w:tc>
          <w:tcPr>
            <w:tcW w:w="77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收费项目</w:t>
            </w:r>
          </w:p>
        </w:tc>
        <w:tc>
          <w:tcPr>
            <w:tcW w:w="723"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收费性质</w:t>
            </w:r>
          </w:p>
        </w:tc>
        <w:tc>
          <w:tcPr>
            <w:tcW w:w="1623" w:type="dxa"/>
            <w:gridSpan w:val="2"/>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服务内容或涉及事项</w:t>
            </w:r>
          </w:p>
        </w:tc>
        <w:tc>
          <w:tcPr>
            <w:tcW w:w="3449" w:type="dxa"/>
            <w:gridSpan w:val="4"/>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收费标准</w:t>
            </w:r>
          </w:p>
        </w:tc>
        <w:tc>
          <w:tcPr>
            <w:tcW w:w="996" w:type="dxa"/>
            <w:gridSpan w:val="2"/>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标准制定方式及部门</w:t>
            </w:r>
          </w:p>
        </w:tc>
        <w:tc>
          <w:tcPr>
            <w:tcW w:w="2907" w:type="dxa"/>
            <w:gridSpan w:val="4"/>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政策依据</w:t>
            </w:r>
          </w:p>
        </w:tc>
        <w:tc>
          <w:tcPr>
            <w:tcW w:w="598"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2" w:hRule="atLeast"/>
        </w:trPr>
        <w:tc>
          <w:tcPr>
            <w:tcW w:w="5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727" w:type="dxa"/>
            <w:vAlign w:val="center"/>
          </w:tcPr>
          <w:p>
            <w:pPr>
              <w:spacing w:line="300" w:lineRule="exact"/>
              <w:jc w:val="center"/>
              <w:rPr>
                <w:rFonts w:ascii="Times New Roman" w:hAnsi="Times New Roman" w:eastAsia="仿宋_GB2312" w:cs="Times New Roman"/>
                <w:sz w:val="24"/>
                <w:szCs w:val="24"/>
              </w:rPr>
            </w:pPr>
            <w:bookmarkStart w:id="0" w:name="OLE_LINK1"/>
            <w:bookmarkStart w:id="1" w:name="OLE_LINK2"/>
            <w:r>
              <w:rPr>
                <w:rFonts w:ascii="Times New Roman" w:hAnsi="Times New Roman" w:eastAsia="仿宋_GB2312" w:cs="Times New Roman"/>
                <w:sz w:val="24"/>
                <w:szCs w:val="24"/>
              </w:rPr>
              <w:t>西安市雁塔区财政局</w:t>
            </w:r>
            <w:bookmarkEnd w:id="0"/>
            <w:bookmarkEnd w:id="1"/>
          </w:p>
        </w:tc>
        <w:tc>
          <w:tcPr>
            <w:tcW w:w="10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本级</w:t>
            </w:r>
          </w:p>
        </w:tc>
        <w:tc>
          <w:tcPr>
            <w:tcW w:w="764"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政府部门</w:t>
            </w:r>
          </w:p>
        </w:tc>
        <w:tc>
          <w:tcPr>
            <w:tcW w:w="77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残疾人就业保障金</w:t>
            </w:r>
          </w:p>
        </w:tc>
        <w:tc>
          <w:tcPr>
            <w:tcW w:w="723"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政府性</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基金</w:t>
            </w:r>
          </w:p>
        </w:tc>
        <w:tc>
          <w:tcPr>
            <w:tcW w:w="1623"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未按规定安排残疾人就业的机关、团体、企业、事业单位和民办非企业单位</w:t>
            </w:r>
          </w:p>
        </w:tc>
        <w:tc>
          <w:tcPr>
            <w:tcW w:w="3449" w:type="dxa"/>
            <w:gridSpan w:val="4"/>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残保金按上年用人单位安排残疾人就业未达到规定比例的差额人数和本单位在职职工年平均工资之积计算缴纳。残保金年缴纳额=（上年用人单位在职职工人数×1.5%-上年用人单位实际安排的残疾人就业人数）×上年用人单位在职职工年平均工资。</w:t>
            </w:r>
          </w:p>
        </w:tc>
        <w:tc>
          <w:tcPr>
            <w:tcW w:w="996"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政府制定</w:t>
            </w:r>
          </w:p>
        </w:tc>
        <w:tc>
          <w:tcPr>
            <w:tcW w:w="2907" w:type="dxa"/>
            <w:gridSpan w:val="4"/>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《残疾人保障法》，《残疾人就业条例》，财综字〔1995〕5号，财综〔2001〕16号，财综〔2001〕18号，财税〔2015〕72 号 ， 陕 财 办 综 〔 2016 〕85号，财税〔2017〕18号，陕财办综〔2017〕2号，陕财税〔2017〕17号，财税〔2018〕39号，陕财税〔2018〕7号，陕财办税〔2020〕1号，陕财办预〔2023〕57号</w:t>
            </w:r>
          </w:p>
        </w:tc>
        <w:tc>
          <w:tcPr>
            <w:tcW w:w="598"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由雁塔区税务局执收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5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72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部门名称</w:t>
            </w:r>
          </w:p>
        </w:tc>
        <w:tc>
          <w:tcPr>
            <w:tcW w:w="10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收费单位名称</w:t>
            </w:r>
          </w:p>
        </w:tc>
        <w:tc>
          <w:tcPr>
            <w:tcW w:w="764"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单位性质</w:t>
            </w:r>
          </w:p>
        </w:tc>
        <w:tc>
          <w:tcPr>
            <w:tcW w:w="77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收费项目</w:t>
            </w:r>
          </w:p>
        </w:tc>
        <w:tc>
          <w:tcPr>
            <w:tcW w:w="723"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收费性质</w:t>
            </w:r>
          </w:p>
        </w:tc>
        <w:tc>
          <w:tcPr>
            <w:tcW w:w="1623" w:type="dxa"/>
            <w:gridSpan w:val="2"/>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服务内容或涉及事项</w:t>
            </w:r>
          </w:p>
        </w:tc>
        <w:tc>
          <w:tcPr>
            <w:tcW w:w="3449" w:type="dxa"/>
            <w:gridSpan w:val="4"/>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收费标准</w:t>
            </w:r>
          </w:p>
        </w:tc>
        <w:tc>
          <w:tcPr>
            <w:tcW w:w="996" w:type="dxa"/>
            <w:gridSpan w:val="2"/>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标准制定方式及部门</w:t>
            </w:r>
          </w:p>
        </w:tc>
        <w:tc>
          <w:tcPr>
            <w:tcW w:w="2907" w:type="dxa"/>
            <w:gridSpan w:val="4"/>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政策依据</w:t>
            </w:r>
          </w:p>
        </w:tc>
        <w:tc>
          <w:tcPr>
            <w:tcW w:w="598"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7" w:hRule="atLeast"/>
        </w:trPr>
        <w:tc>
          <w:tcPr>
            <w:tcW w:w="5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72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西安市雁塔区财政局</w:t>
            </w:r>
          </w:p>
        </w:tc>
        <w:tc>
          <w:tcPr>
            <w:tcW w:w="10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本级</w:t>
            </w:r>
          </w:p>
        </w:tc>
        <w:tc>
          <w:tcPr>
            <w:tcW w:w="764"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政府部门</w:t>
            </w:r>
          </w:p>
        </w:tc>
        <w:tc>
          <w:tcPr>
            <w:tcW w:w="77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教育费附加</w:t>
            </w:r>
          </w:p>
        </w:tc>
        <w:tc>
          <w:tcPr>
            <w:tcW w:w="723"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政府性</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基金</w:t>
            </w:r>
          </w:p>
        </w:tc>
        <w:tc>
          <w:tcPr>
            <w:tcW w:w="1623"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凡缴纳增值税、消费税的单位和个人，都是教育费附加的缴纳义务人，以各单位和个人实际缴纳的增值税、消费税的税额为计征依据</w:t>
            </w:r>
          </w:p>
        </w:tc>
        <w:tc>
          <w:tcPr>
            <w:tcW w:w="3449" w:type="dxa"/>
            <w:gridSpan w:val="4"/>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各单位和个人实际缴纳的增值税、消费税税额的3%</w:t>
            </w:r>
          </w:p>
        </w:tc>
        <w:tc>
          <w:tcPr>
            <w:tcW w:w="996"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政府制定</w:t>
            </w:r>
          </w:p>
        </w:tc>
        <w:tc>
          <w:tcPr>
            <w:tcW w:w="2907" w:type="dxa"/>
            <w:gridSpan w:val="4"/>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《中华人民共和国教育法 》，国发〔1986〕50号（国务院令第60号修改发布），国发明电〔1994〕2号、23号，财综〔2007〕53号，国发〔2010〕35号，财税〔2010〕103号，财税〔2016〕12号，财税〔2018〕70号，财税〔2019〕13号，财税〔2019〕21号，财税〔2019〕22号，陕财税〔2019〕5号，财税〔2019〕46号，陕财税〔2019〕15号，财政部、税务总局、国家发展改革委、民政部、 商务 部 、 卫 生 健 康 委 公 告2019年第76号</w:t>
            </w:r>
          </w:p>
        </w:tc>
        <w:tc>
          <w:tcPr>
            <w:tcW w:w="598"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由雁塔区税务局执收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05" w:type="dxa"/>
            <w:vAlign w:val="center"/>
          </w:tcPr>
          <w:p>
            <w:pPr>
              <w:spacing w:line="300" w:lineRule="exact"/>
              <w:jc w:val="center"/>
              <w:rPr>
                <w:rFonts w:ascii="Times New Roman" w:hAnsi="Times New Roman" w:eastAsia="黑体" w:cs="Times New Roman"/>
                <w:sz w:val="24"/>
                <w:szCs w:val="24"/>
              </w:rPr>
            </w:pPr>
            <w:bookmarkStart w:id="2" w:name="_Hlk210987984"/>
            <w:r>
              <w:rPr>
                <w:rFonts w:ascii="Times New Roman" w:hAnsi="Times New Roman" w:eastAsia="黑体" w:cs="Times New Roman"/>
                <w:sz w:val="24"/>
                <w:szCs w:val="24"/>
              </w:rPr>
              <w:t>序号</w:t>
            </w:r>
          </w:p>
        </w:tc>
        <w:tc>
          <w:tcPr>
            <w:tcW w:w="72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部门名称</w:t>
            </w:r>
          </w:p>
        </w:tc>
        <w:tc>
          <w:tcPr>
            <w:tcW w:w="10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收费单位名称</w:t>
            </w:r>
          </w:p>
        </w:tc>
        <w:tc>
          <w:tcPr>
            <w:tcW w:w="764"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单位性质</w:t>
            </w:r>
          </w:p>
        </w:tc>
        <w:tc>
          <w:tcPr>
            <w:tcW w:w="77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收费项目</w:t>
            </w:r>
          </w:p>
        </w:tc>
        <w:tc>
          <w:tcPr>
            <w:tcW w:w="723"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收费性质</w:t>
            </w:r>
          </w:p>
        </w:tc>
        <w:tc>
          <w:tcPr>
            <w:tcW w:w="1623" w:type="dxa"/>
            <w:gridSpan w:val="2"/>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服务内容或涉及事项</w:t>
            </w:r>
          </w:p>
        </w:tc>
        <w:tc>
          <w:tcPr>
            <w:tcW w:w="1281"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收费标准</w:t>
            </w:r>
          </w:p>
        </w:tc>
        <w:tc>
          <w:tcPr>
            <w:tcW w:w="1078"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标准制定方式及部门</w:t>
            </w:r>
          </w:p>
        </w:tc>
        <w:tc>
          <w:tcPr>
            <w:tcW w:w="4993" w:type="dxa"/>
            <w:gridSpan w:val="8"/>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政策依据</w:t>
            </w:r>
          </w:p>
        </w:tc>
        <w:tc>
          <w:tcPr>
            <w:tcW w:w="598"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p>
            <w:pPr>
              <w:spacing w:line="300" w:lineRule="exact"/>
              <w:jc w:val="center"/>
              <w:rPr>
                <w:rFonts w:ascii="Times New Roman" w:hAnsi="Times New Roman" w:eastAsia="仿宋_GB2312" w:cs="Times New Roman"/>
                <w:sz w:val="24"/>
                <w:szCs w:val="24"/>
              </w:rPr>
            </w:pPr>
          </w:p>
        </w:tc>
        <w:tc>
          <w:tcPr>
            <w:tcW w:w="727" w:type="dxa"/>
            <w:vAlign w:val="center"/>
          </w:tcPr>
          <w:p>
            <w:pPr>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西安市雁塔区财政局</w:t>
            </w:r>
          </w:p>
        </w:tc>
        <w:tc>
          <w:tcPr>
            <w:tcW w:w="10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本级</w:t>
            </w:r>
          </w:p>
        </w:tc>
        <w:tc>
          <w:tcPr>
            <w:tcW w:w="764"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政府部门</w:t>
            </w:r>
          </w:p>
        </w:tc>
        <w:tc>
          <w:tcPr>
            <w:tcW w:w="77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地方教育附加</w:t>
            </w:r>
          </w:p>
        </w:tc>
        <w:tc>
          <w:tcPr>
            <w:tcW w:w="723" w:type="dxa"/>
            <w:vAlign w:val="center"/>
          </w:tcPr>
          <w:p>
            <w:pPr>
              <w:spacing w:line="300" w:lineRule="exact"/>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政府性基金</w:t>
            </w:r>
          </w:p>
        </w:tc>
        <w:tc>
          <w:tcPr>
            <w:tcW w:w="1623"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凡缴纳增值税、消费税的单位和个人，都是教育费附加的缴纳义务人，以各单位和个人实际缴纳的增值税、消费税的税额为计征依据</w:t>
            </w:r>
          </w:p>
        </w:tc>
        <w:tc>
          <w:tcPr>
            <w:tcW w:w="1281"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各单位和个人实际缴纳的增值税、消费税税额的2%</w:t>
            </w:r>
          </w:p>
        </w:tc>
        <w:tc>
          <w:tcPr>
            <w:tcW w:w="107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政府制定</w:t>
            </w:r>
          </w:p>
        </w:tc>
        <w:tc>
          <w:tcPr>
            <w:tcW w:w="4993" w:type="dxa"/>
            <w:gridSpan w:val="8"/>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《中华人民共和国教育法 》，财 综 〔 2004 〕 73 号 ， 财 综 〔2007〕53号，陕政办发〔2011〕10号，财税〔2016〕12号，财 税 〔 2018 〕 70 号 ， 财 税 〔2019〕13号，财税〔2019〕21号，财税〔2019〕22号，财税〔2019〕46号，陕财税〔2019〕5号，陕财税〔2019〕15号，财政部、税务总局、国家发展改革委、民政部、商务部、卫生健康委公告2019年第76号，陕财税〔2023〕13号</w:t>
            </w:r>
          </w:p>
        </w:tc>
        <w:tc>
          <w:tcPr>
            <w:tcW w:w="598"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由雁塔区税务局执收</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trPr>
        <w:tc>
          <w:tcPr>
            <w:tcW w:w="5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72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西安市雁塔区财政局</w:t>
            </w:r>
          </w:p>
          <w:p>
            <w:pPr>
              <w:spacing w:line="300" w:lineRule="exact"/>
              <w:jc w:val="center"/>
              <w:rPr>
                <w:rFonts w:ascii="Times New Roman" w:hAnsi="Times New Roman" w:eastAsia="仿宋_GB2312" w:cs="Times New Roman"/>
                <w:sz w:val="24"/>
                <w:szCs w:val="24"/>
              </w:rPr>
            </w:pPr>
          </w:p>
        </w:tc>
        <w:tc>
          <w:tcPr>
            <w:tcW w:w="10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本级</w:t>
            </w:r>
          </w:p>
        </w:tc>
        <w:tc>
          <w:tcPr>
            <w:tcW w:w="764"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政府部门</w:t>
            </w:r>
          </w:p>
        </w:tc>
        <w:tc>
          <w:tcPr>
            <w:tcW w:w="77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文化事业建设费</w:t>
            </w:r>
          </w:p>
        </w:tc>
        <w:tc>
          <w:tcPr>
            <w:tcW w:w="723" w:type="dxa"/>
            <w:vAlign w:val="center"/>
          </w:tcPr>
          <w:p>
            <w:pPr>
              <w:spacing w:line="300" w:lineRule="exact"/>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政府性基金</w:t>
            </w:r>
          </w:p>
        </w:tc>
        <w:tc>
          <w:tcPr>
            <w:tcW w:w="1623"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在中华人民共和国境内提供广告服务的广告媒介单位和户外广告经营单位、提供娱乐服务的单位和个人</w:t>
            </w:r>
          </w:p>
        </w:tc>
        <w:tc>
          <w:tcPr>
            <w:tcW w:w="1281"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按照提供广告服务、娱乐服务取得的计费销售额和 3%的费率计算应缴费额</w:t>
            </w:r>
          </w:p>
        </w:tc>
        <w:tc>
          <w:tcPr>
            <w:tcW w:w="107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政府制定</w:t>
            </w:r>
          </w:p>
        </w:tc>
        <w:tc>
          <w:tcPr>
            <w:tcW w:w="4993" w:type="dxa"/>
            <w:gridSpan w:val="8"/>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国发〔1996〕37号，财预字〔1996〕469号，财文字〔1997〕243号，财税字〔1997〕95号，国办发〔2006〕43号，财综〔2012〕68号，财综〔2012〕96号，财综〔2013〕88号，财综〔2013〕102号，财税〔2016〕25号，财税〔2016〕60号，财税〔 2019 〕 46 号 ， 陕 财 税 〔2019〕15号，陕财办预〔2023〕57号</w:t>
            </w:r>
          </w:p>
        </w:tc>
        <w:tc>
          <w:tcPr>
            <w:tcW w:w="598"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由雁塔区税务局执收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5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72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部门名称</w:t>
            </w:r>
          </w:p>
        </w:tc>
        <w:tc>
          <w:tcPr>
            <w:tcW w:w="10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收费单位名称</w:t>
            </w:r>
          </w:p>
        </w:tc>
        <w:tc>
          <w:tcPr>
            <w:tcW w:w="764"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单位性质</w:t>
            </w:r>
          </w:p>
        </w:tc>
        <w:tc>
          <w:tcPr>
            <w:tcW w:w="77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收费项目</w:t>
            </w:r>
          </w:p>
        </w:tc>
        <w:tc>
          <w:tcPr>
            <w:tcW w:w="723"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收费性质</w:t>
            </w:r>
          </w:p>
        </w:tc>
        <w:tc>
          <w:tcPr>
            <w:tcW w:w="1623" w:type="dxa"/>
            <w:gridSpan w:val="2"/>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服务内容或涉及事项</w:t>
            </w:r>
          </w:p>
        </w:tc>
        <w:tc>
          <w:tcPr>
            <w:tcW w:w="3449" w:type="dxa"/>
            <w:gridSpan w:val="4"/>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收费标准</w:t>
            </w:r>
          </w:p>
        </w:tc>
        <w:tc>
          <w:tcPr>
            <w:tcW w:w="1099" w:type="dxa"/>
            <w:gridSpan w:val="3"/>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标准制定方式及部门</w:t>
            </w:r>
          </w:p>
        </w:tc>
        <w:tc>
          <w:tcPr>
            <w:tcW w:w="2804" w:type="dxa"/>
            <w:gridSpan w:val="3"/>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政策依据</w:t>
            </w:r>
          </w:p>
        </w:tc>
        <w:tc>
          <w:tcPr>
            <w:tcW w:w="598"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2" w:hRule="atLeast"/>
        </w:trPr>
        <w:tc>
          <w:tcPr>
            <w:tcW w:w="5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72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西安市雁塔区财政局</w:t>
            </w:r>
          </w:p>
          <w:p>
            <w:pPr>
              <w:spacing w:line="300" w:lineRule="exact"/>
              <w:jc w:val="center"/>
              <w:rPr>
                <w:rFonts w:ascii="Times New Roman" w:hAnsi="Times New Roman" w:eastAsia="仿宋_GB2312" w:cs="Times New Roman"/>
                <w:sz w:val="24"/>
                <w:szCs w:val="24"/>
              </w:rPr>
            </w:pPr>
          </w:p>
        </w:tc>
        <w:tc>
          <w:tcPr>
            <w:tcW w:w="10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本级</w:t>
            </w:r>
          </w:p>
        </w:tc>
        <w:tc>
          <w:tcPr>
            <w:tcW w:w="764"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政府部门</w:t>
            </w:r>
          </w:p>
        </w:tc>
        <w:tc>
          <w:tcPr>
            <w:tcW w:w="77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水利建设基金</w:t>
            </w:r>
          </w:p>
        </w:tc>
        <w:tc>
          <w:tcPr>
            <w:tcW w:w="723" w:type="dxa"/>
            <w:vAlign w:val="center"/>
          </w:tcPr>
          <w:p>
            <w:pPr>
              <w:spacing w:line="300" w:lineRule="exact"/>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政府性基金</w:t>
            </w:r>
          </w:p>
        </w:tc>
        <w:tc>
          <w:tcPr>
            <w:tcW w:w="1623"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有销售收入或者营业收入的企业事业单位和个体经营者；银行（含信用社）、保险公司、依法设立的非银行金融机构。</w:t>
            </w:r>
          </w:p>
        </w:tc>
        <w:tc>
          <w:tcPr>
            <w:tcW w:w="3449" w:type="dxa"/>
            <w:gridSpan w:val="4"/>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银行（含信用社）按利息收入（不含其他收入）的0.5‰，保险公司按保费收入（不含其他收入）的0.5‰，依法设立的非银行金融机构按主营业务收入（不含其他收入）的1‰，其它企业事业单位和个体经营者按销售商品收入和提供劳务收入（指按《企业会计准则》规定计入的经济利益总流入，包括主营业务收入和其他业务收入，但不包括为第三方或者客户代收的款项）的0.8‰缴纳水利建设基金，水利建设基金起征点与增值税起征点相同。</w:t>
            </w:r>
          </w:p>
        </w:tc>
        <w:tc>
          <w:tcPr>
            <w:tcW w:w="1099" w:type="dxa"/>
            <w:gridSpan w:val="3"/>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政府制定</w:t>
            </w:r>
          </w:p>
        </w:tc>
        <w:tc>
          <w:tcPr>
            <w:tcW w:w="2804" w:type="dxa"/>
            <w:gridSpan w:val="3"/>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财综字〔1998〕125号，财综〔2011〕2号，财综函〔2011〕33号，财办综〔2011〕111号，陕财办综〔2015〕154号，财税函〔2016〕291号，财税〔2016〕12号，财税〔2017〕18号，陕财办综〔2017〕17号，陕财办综〔2018〕3号，陕财办综〔2019〕25号，陕财办税〔2020〕 4 号 ， 陕 财 办 综 〔 2021 〕9号，财税发〔2023〕9号，陕财办预〔2023〕57号</w:t>
            </w:r>
          </w:p>
        </w:tc>
        <w:tc>
          <w:tcPr>
            <w:tcW w:w="598"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由雁塔区税务局执收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72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部门名称</w:t>
            </w:r>
          </w:p>
        </w:tc>
        <w:tc>
          <w:tcPr>
            <w:tcW w:w="10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收费单位名称</w:t>
            </w:r>
          </w:p>
        </w:tc>
        <w:tc>
          <w:tcPr>
            <w:tcW w:w="764"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单位性质</w:t>
            </w:r>
          </w:p>
        </w:tc>
        <w:tc>
          <w:tcPr>
            <w:tcW w:w="77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收费项目</w:t>
            </w:r>
          </w:p>
        </w:tc>
        <w:tc>
          <w:tcPr>
            <w:tcW w:w="723"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收费性质</w:t>
            </w:r>
          </w:p>
        </w:tc>
        <w:tc>
          <w:tcPr>
            <w:tcW w:w="1623" w:type="dxa"/>
            <w:gridSpan w:val="2"/>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服务内容或涉及事项</w:t>
            </w:r>
          </w:p>
        </w:tc>
        <w:tc>
          <w:tcPr>
            <w:tcW w:w="3449" w:type="dxa"/>
            <w:gridSpan w:val="4"/>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收费标准</w:t>
            </w:r>
          </w:p>
        </w:tc>
        <w:tc>
          <w:tcPr>
            <w:tcW w:w="1099" w:type="dxa"/>
            <w:gridSpan w:val="3"/>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标准制定方式及部门</w:t>
            </w:r>
          </w:p>
        </w:tc>
        <w:tc>
          <w:tcPr>
            <w:tcW w:w="2804" w:type="dxa"/>
            <w:gridSpan w:val="3"/>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政策依据</w:t>
            </w:r>
          </w:p>
        </w:tc>
        <w:tc>
          <w:tcPr>
            <w:tcW w:w="598"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3" w:hRule="atLeast"/>
        </w:trPr>
        <w:tc>
          <w:tcPr>
            <w:tcW w:w="5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72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西安市雁塔区农林水务局</w:t>
            </w:r>
          </w:p>
        </w:tc>
        <w:tc>
          <w:tcPr>
            <w:tcW w:w="10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本级</w:t>
            </w:r>
          </w:p>
        </w:tc>
        <w:tc>
          <w:tcPr>
            <w:tcW w:w="764"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政府部门</w:t>
            </w:r>
          </w:p>
        </w:tc>
        <w:tc>
          <w:tcPr>
            <w:tcW w:w="77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水土保持补偿费</w:t>
            </w:r>
          </w:p>
        </w:tc>
        <w:tc>
          <w:tcPr>
            <w:tcW w:w="723"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行政事业性收费</w:t>
            </w:r>
          </w:p>
        </w:tc>
        <w:tc>
          <w:tcPr>
            <w:tcW w:w="1623"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占用、扰动、损坏原地貌、植被或者水土保持设施的生产建设单位和个人</w:t>
            </w:r>
          </w:p>
        </w:tc>
        <w:tc>
          <w:tcPr>
            <w:tcW w:w="3449" w:type="dxa"/>
            <w:gridSpan w:val="4"/>
            <w:vAlign w:val="center"/>
          </w:tcPr>
          <w:p>
            <w:pPr>
              <w:spacing w:line="300" w:lineRule="exact"/>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1）一般性生产建设项目和矿广产资源开采项目建设期间，按照征占用土地面积开工前一次性计征，每平方米1.7元(不足1平方米的按1平方米计，下同)。（2）矿产资源开采项目生产期间，煤炭按照原煤陕北每吨3.5元、关中每吨2.1元、陕南每吨0.7元的标准计征；石油、天然气按照油气生产井占地面积按年征收(每口生产井不超过2000平方米计算)，每平方米每年不超过1.4元。(3)取土、挖沙(河道采砂除外)、采石以及烧制砖、瓦、瓷、石灰的，根据取土、挖沙、采石量，按照每立方米0.7元计征。(4)排放废弃土、石、渣的，根据排放土、石、渣量，按照每立方米0.7元计征。对缴纳义务人已按前三种方式计征的，不再重复计征。</w:t>
            </w:r>
          </w:p>
        </w:tc>
        <w:tc>
          <w:tcPr>
            <w:tcW w:w="1099" w:type="dxa"/>
            <w:gridSpan w:val="3"/>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政府制定</w:t>
            </w:r>
          </w:p>
        </w:tc>
        <w:tc>
          <w:tcPr>
            <w:tcW w:w="2804" w:type="dxa"/>
            <w:gridSpan w:val="3"/>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水土保持法》，财综〔2014〕8号，发改价格〔2014〕886号，陕财办综〔2015〕38号，陕财办综〔2015〕104号，陕财办综〔2015〕157号，发改价格〔2017〕1186号，陕价费发〔2017〕75号，陕财办税〔2020〕9号，陕财税〔2020〕24号，陕税发〔2023〕9号，陕财办预〔2023〕57号</w:t>
            </w:r>
          </w:p>
        </w:tc>
        <w:tc>
          <w:tcPr>
            <w:tcW w:w="598"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由雁塔区税务局执收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72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部门名称</w:t>
            </w:r>
          </w:p>
        </w:tc>
        <w:tc>
          <w:tcPr>
            <w:tcW w:w="10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收费单位名称</w:t>
            </w:r>
          </w:p>
        </w:tc>
        <w:tc>
          <w:tcPr>
            <w:tcW w:w="764"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单位性质</w:t>
            </w:r>
          </w:p>
        </w:tc>
        <w:tc>
          <w:tcPr>
            <w:tcW w:w="77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收费项目</w:t>
            </w:r>
          </w:p>
        </w:tc>
        <w:tc>
          <w:tcPr>
            <w:tcW w:w="723"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收费性质</w:t>
            </w:r>
          </w:p>
        </w:tc>
        <w:tc>
          <w:tcPr>
            <w:tcW w:w="1623" w:type="dxa"/>
            <w:gridSpan w:val="2"/>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服务内容或涉及事项</w:t>
            </w:r>
          </w:p>
        </w:tc>
        <w:tc>
          <w:tcPr>
            <w:tcW w:w="3449" w:type="dxa"/>
            <w:gridSpan w:val="4"/>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收费标准</w:t>
            </w:r>
          </w:p>
        </w:tc>
        <w:tc>
          <w:tcPr>
            <w:tcW w:w="1099" w:type="dxa"/>
            <w:gridSpan w:val="3"/>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标准制定方式及部门</w:t>
            </w:r>
          </w:p>
        </w:tc>
        <w:tc>
          <w:tcPr>
            <w:tcW w:w="2804" w:type="dxa"/>
            <w:gridSpan w:val="3"/>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政策依据</w:t>
            </w:r>
          </w:p>
        </w:tc>
        <w:tc>
          <w:tcPr>
            <w:tcW w:w="598"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8" w:hRule="atLeast"/>
        </w:trPr>
        <w:tc>
          <w:tcPr>
            <w:tcW w:w="5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72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西安市雁塔区国防动员办公室</w:t>
            </w:r>
          </w:p>
        </w:tc>
        <w:tc>
          <w:tcPr>
            <w:tcW w:w="10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本级</w:t>
            </w:r>
          </w:p>
        </w:tc>
        <w:tc>
          <w:tcPr>
            <w:tcW w:w="764"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政府部门</w:t>
            </w:r>
          </w:p>
        </w:tc>
        <w:tc>
          <w:tcPr>
            <w:tcW w:w="77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防空地下室易地建设费</w:t>
            </w:r>
          </w:p>
        </w:tc>
        <w:tc>
          <w:tcPr>
            <w:tcW w:w="723"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行政事业性收费</w:t>
            </w:r>
          </w:p>
        </w:tc>
        <w:tc>
          <w:tcPr>
            <w:tcW w:w="1623" w:type="dxa"/>
            <w:gridSpan w:val="2"/>
            <w:vAlign w:val="center"/>
          </w:tcPr>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因条件限制不能同步配套修建防空地下室的建设单位</w:t>
            </w:r>
          </w:p>
        </w:tc>
        <w:tc>
          <w:tcPr>
            <w:tcW w:w="3449" w:type="dxa"/>
            <w:gridSpan w:val="4"/>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1.6级防空地下室的易地建设费收费标准为：一类人防重点城市每平方米1500元；二类人防重点城市每平方米1300元；三类及省级人防重点城市每平方米1000元；其他城市每平方米800元。</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2.6B级防空地下室的收费标准为6级标准的60%，即一类人防重点城市每平方米900元，二类人防重点城市每平方米780元，三类及省级人防重点城市每平方米600元，其他城市每平方米480元。对确因地质条件等原因无法修建防空地下室的易地扶贫搬迁项目免征防空地下室易地建设费。</w:t>
            </w:r>
          </w:p>
        </w:tc>
        <w:tc>
          <w:tcPr>
            <w:tcW w:w="1099" w:type="dxa"/>
            <w:gridSpan w:val="3"/>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政府制定</w:t>
            </w:r>
          </w:p>
        </w:tc>
        <w:tc>
          <w:tcPr>
            <w:tcW w:w="2804" w:type="dxa"/>
            <w:gridSpan w:val="3"/>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计价格〔2000〕474号，中发〔2001〕9号，陕价费调发〔2004〕12号，陕价费调发〔2004〕19号，陕财办综〔2009〕29号，财税〔2014〕77号，财税〔2019〕53号，陕财税〔2019〕18号，财政部 税务总局 发展改革委 民政部 商务部 卫生健康委公告2019年第76号，陕财税〔2020〕24号，陕财办预〔2023〕57号</w:t>
            </w:r>
          </w:p>
        </w:tc>
        <w:tc>
          <w:tcPr>
            <w:tcW w:w="598"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由雁塔区税务局执收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05" w:type="dxa"/>
            <w:vAlign w:val="center"/>
          </w:tcPr>
          <w:p>
            <w:pPr>
              <w:spacing w:line="300" w:lineRule="exact"/>
              <w:jc w:val="center"/>
              <w:rPr>
                <w:rFonts w:ascii="Times New Roman" w:hAnsi="Times New Roman" w:eastAsia="黑体" w:cs="Times New Roman"/>
                <w:sz w:val="24"/>
                <w:szCs w:val="24"/>
              </w:rPr>
            </w:pPr>
            <w:bookmarkStart w:id="3" w:name="_Hlk210922278"/>
            <w:r>
              <w:rPr>
                <w:rFonts w:ascii="Times New Roman" w:hAnsi="Times New Roman" w:eastAsia="黑体" w:cs="Times New Roman"/>
                <w:sz w:val="24"/>
                <w:szCs w:val="24"/>
              </w:rPr>
              <w:t>序号</w:t>
            </w:r>
          </w:p>
        </w:tc>
        <w:tc>
          <w:tcPr>
            <w:tcW w:w="72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部门名称</w:t>
            </w:r>
          </w:p>
        </w:tc>
        <w:tc>
          <w:tcPr>
            <w:tcW w:w="10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收费单位名称</w:t>
            </w:r>
          </w:p>
        </w:tc>
        <w:tc>
          <w:tcPr>
            <w:tcW w:w="764"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单位性质</w:t>
            </w:r>
          </w:p>
        </w:tc>
        <w:tc>
          <w:tcPr>
            <w:tcW w:w="77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收费项目</w:t>
            </w:r>
          </w:p>
        </w:tc>
        <w:tc>
          <w:tcPr>
            <w:tcW w:w="723"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收费性质</w:t>
            </w:r>
          </w:p>
        </w:tc>
        <w:tc>
          <w:tcPr>
            <w:tcW w:w="1623" w:type="dxa"/>
            <w:gridSpan w:val="2"/>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服务内容或涉及事项</w:t>
            </w:r>
          </w:p>
        </w:tc>
        <w:tc>
          <w:tcPr>
            <w:tcW w:w="3449" w:type="dxa"/>
            <w:gridSpan w:val="4"/>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收费标准</w:t>
            </w:r>
          </w:p>
        </w:tc>
        <w:tc>
          <w:tcPr>
            <w:tcW w:w="1099" w:type="dxa"/>
            <w:gridSpan w:val="3"/>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标准制定方式及部门</w:t>
            </w:r>
          </w:p>
        </w:tc>
        <w:tc>
          <w:tcPr>
            <w:tcW w:w="2804" w:type="dxa"/>
            <w:gridSpan w:val="3"/>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政策依据</w:t>
            </w:r>
          </w:p>
        </w:tc>
        <w:tc>
          <w:tcPr>
            <w:tcW w:w="598"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3" w:hRule="atLeast"/>
        </w:trPr>
        <w:tc>
          <w:tcPr>
            <w:tcW w:w="5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72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西安市自然资源和规划局雁塔分局</w:t>
            </w:r>
          </w:p>
        </w:tc>
        <w:tc>
          <w:tcPr>
            <w:tcW w:w="10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本级</w:t>
            </w:r>
          </w:p>
        </w:tc>
        <w:tc>
          <w:tcPr>
            <w:tcW w:w="764" w:type="dxa"/>
            <w:vAlign w:val="center"/>
          </w:tcPr>
          <w:p>
            <w:pPr>
              <w:spacing w:line="300" w:lineRule="exact"/>
              <w:jc w:val="center"/>
              <w:rPr>
                <w:rFonts w:ascii="Times New Roman" w:hAnsi="Times New Roman" w:eastAsia="仿宋_GB2312" w:cs="Times New Roman"/>
                <w:sz w:val="24"/>
                <w:szCs w:val="24"/>
              </w:rPr>
            </w:pPr>
            <w:bookmarkStart w:id="4" w:name="OLE_LINK5"/>
            <w:r>
              <w:rPr>
                <w:rFonts w:ascii="Times New Roman" w:hAnsi="Times New Roman" w:eastAsia="仿宋_GB2312" w:cs="Times New Roman"/>
                <w:sz w:val="24"/>
                <w:szCs w:val="24"/>
              </w:rPr>
              <w:t>政府部门</w:t>
            </w:r>
            <w:bookmarkEnd w:id="4"/>
          </w:p>
        </w:tc>
        <w:tc>
          <w:tcPr>
            <w:tcW w:w="77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土地闲置费</w:t>
            </w:r>
          </w:p>
        </w:tc>
        <w:tc>
          <w:tcPr>
            <w:tcW w:w="723"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行政事业性收费</w:t>
            </w:r>
          </w:p>
        </w:tc>
        <w:tc>
          <w:tcPr>
            <w:tcW w:w="1623"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闲置土地的国有建设用地使用权人</w:t>
            </w:r>
          </w:p>
        </w:tc>
        <w:tc>
          <w:tcPr>
            <w:tcW w:w="3436" w:type="dxa"/>
            <w:gridSpan w:val="3"/>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按照土地出让或者划拨价款的20%（自2021年7月1日由税务部门收缴）征缴；划拨方式取得土地使用权的，以取得土地发生的成本（扣除税收）为划拨土地价款；出让方式取得土地使用权的，以土地出让金总额为土地出让价款。用于提供社区养老、托育、家政服务的房产、土地，免征土地闲置费。</w:t>
            </w:r>
          </w:p>
        </w:tc>
        <w:tc>
          <w:tcPr>
            <w:tcW w:w="1112" w:type="dxa"/>
            <w:gridSpan w:val="4"/>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政府制定</w:t>
            </w:r>
          </w:p>
        </w:tc>
        <w:tc>
          <w:tcPr>
            <w:tcW w:w="2804" w:type="dxa"/>
            <w:gridSpan w:val="3"/>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《中华人民共和国土地管理法》，《城市房地产管理法》，国发〔2008〕3号，财税〔2014〕77号，财政部 税务总局 发展改革委民政部 商务部 卫生健康委公告2019年第76号，国家税务总局公告2021年第12号，陕财税〔2021〕11号</w:t>
            </w:r>
          </w:p>
        </w:tc>
        <w:tc>
          <w:tcPr>
            <w:tcW w:w="598"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由雁塔区税务局执收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72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部门名称</w:t>
            </w:r>
          </w:p>
        </w:tc>
        <w:tc>
          <w:tcPr>
            <w:tcW w:w="10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收费单位名称</w:t>
            </w:r>
          </w:p>
        </w:tc>
        <w:tc>
          <w:tcPr>
            <w:tcW w:w="764"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单位性质</w:t>
            </w:r>
          </w:p>
        </w:tc>
        <w:tc>
          <w:tcPr>
            <w:tcW w:w="77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收费项目</w:t>
            </w:r>
          </w:p>
        </w:tc>
        <w:tc>
          <w:tcPr>
            <w:tcW w:w="723"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收费性质</w:t>
            </w:r>
          </w:p>
        </w:tc>
        <w:tc>
          <w:tcPr>
            <w:tcW w:w="954"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服务内容或涉及事项</w:t>
            </w:r>
          </w:p>
        </w:tc>
        <w:tc>
          <w:tcPr>
            <w:tcW w:w="5659" w:type="dxa"/>
            <w:gridSpan w:val="9"/>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收费标准</w:t>
            </w:r>
          </w:p>
        </w:tc>
        <w:tc>
          <w:tcPr>
            <w:tcW w:w="969"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标准制定方式及部门</w:t>
            </w:r>
          </w:p>
        </w:tc>
        <w:tc>
          <w:tcPr>
            <w:tcW w:w="1393"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政策依据</w:t>
            </w:r>
          </w:p>
        </w:tc>
        <w:tc>
          <w:tcPr>
            <w:tcW w:w="598"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备注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72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西安市雁塔区城市管理和综合执法局</w:t>
            </w:r>
          </w:p>
        </w:tc>
        <w:tc>
          <w:tcPr>
            <w:tcW w:w="10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本级</w:t>
            </w:r>
          </w:p>
        </w:tc>
        <w:tc>
          <w:tcPr>
            <w:tcW w:w="764"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政府部门</w:t>
            </w:r>
          </w:p>
        </w:tc>
        <w:tc>
          <w:tcPr>
            <w:tcW w:w="77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城市道路占用、挖掘修复费</w:t>
            </w:r>
          </w:p>
        </w:tc>
        <w:tc>
          <w:tcPr>
            <w:tcW w:w="723"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行政事业性收费</w:t>
            </w:r>
          </w:p>
        </w:tc>
        <w:tc>
          <w:tcPr>
            <w:tcW w:w="954"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在企业施工完成后按规范进行道路修复、监督企业围挡过程中符合相关规定</w:t>
            </w:r>
          </w:p>
        </w:tc>
        <w:tc>
          <w:tcPr>
            <w:tcW w:w="5659" w:type="dxa"/>
            <w:gridSpan w:val="9"/>
            <w:vAlign w:val="center"/>
          </w:tcPr>
          <w:p>
            <w:pPr>
              <w:numPr>
                <w:ilvl w:val="0"/>
                <w:numId w:val="1"/>
              </w:numPr>
              <w:rPr>
                <w:rFonts w:ascii="Times New Roman" w:hAnsi="Times New Roman" w:eastAsia="仿宋_GB2312" w:cs="Times New Roman"/>
                <w:sz w:val="24"/>
                <w:szCs w:val="24"/>
              </w:rPr>
            </w:pPr>
            <w:r>
              <w:rPr>
                <w:rFonts w:ascii="Times New Roman" w:hAnsi="Times New Roman" w:eastAsia="仿宋_GB2312" w:cs="Times New Roman"/>
                <w:sz w:val="24"/>
                <w:szCs w:val="24"/>
              </w:rPr>
              <w:t>城市道路占用标准</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（一）经营性占道 主干道：车行道1.89元/平方米·天；                                                                             人行道0.72/平方米·天；空地路0.54元/平方米·天；次干道：车行道1.44元/平方米·天；人行道0.54/平方米·天；空地路0.45元/平方米·天；背街小巷：车行道0.99元/平方米·天；人行道0.45/平方米·天；空地路0.18元/平方米·天；（二）非经营性占道 主干道：人行道0.45元/平方米·天；次干道：人行道0.36元/平方米·天；背街小巷：人行道0.27元/平方米·天</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二、城市道路挖掘修复标准                                                                                                               普通水泥砼路面559.8元/平方米                                                                                                   沥青砼路面-主干道650.7元/平方米；沥青砼路面-次干道580.5元/平方米；沥青砼路面-背街小巷491.4元/平方米；石材路面669.6元/平方米；透水砖人行道343.8元/平方米；石材人行道449.1元/平方米；普通水泥砼路牙213.3元/米；石材道牙370.8元/米；挖运土方(垃圾)94.5元/米；回填土110.7元/立方米；回填二灰土256.5元/立方米；管道连接修复费(砖砌检查井)8464.5元/处；</w:t>
            </w:r>
          </w:p>
        </w:tc>
        <w:tc>
          <w:tcPr>
            <w:tcW w:w="96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政府制定</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陕西省住房和城乡建设厅</w:t>
            </w:r>
          </w:p>
        </w:tc>
        <w:tc>
          <w:tcPr>
            <w:tcW w:w="1393"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《城市道路管理条例》，建〔1993〕410号，财税〔2015〕68号，陕建发〔2015〕141号，陕建发〔2015〕194号，陕财税〔2019〕26号，陕财办税〔2020〕17号</w:t>
            </w:r>
          </w:p>
        </w:tc>
        <w:tc>
          <w:tcPr>
            <w:tcW w:w="598" w:type="dxa"/>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5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72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部门名称</w:t>
            </w:r>
          </w:p>
        </w:tc>
        <w:tc>
          <w:tcPr>
            <w:tcW w:w="1005"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收费单位名称</w:t>
            </w:r>
          </w:p>
        </w:tc>
        <w:tc>
          <w:tcPr>
            <w:tcW w:w="764"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单位性质</w:t>
            </w:r>
          </w:p>
        </w:tc>
        <w:tc>
          <w:tcPr>
            <w:tcW w:w="777"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收费项目</w:t>
            </w:r>
          </w:p>
        </w:tc>
        <w:tc>
          <w:tcPr>
            <w:tcW w:w="723"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收费性质</w:t>
            </w:r>
          </w:p>
        </w:tc>
        <w:tc>
          <w:tcPr>
            <w:tcW w:w="1623" w:type="dxa"/>
            <w:gridSpan w:val="2"/>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服务内容或涉及事项</w:t>
            </w:r>
          </w:p>
        </w:tc>
        <w:tc>
          <w:tcPr>
            <w:tcW w:w="3436" w:type="dxa"/>
            <w:gridSpan w:val="3"/>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收费标准</w:t>
            </w:r>
          </w:p>
        </w:tc>
        <w:tc>
          <w:tcPr>
            <w:tcW w:w="970" w:type="dxa"/>
            <w:gridSpan w:val="2"/>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标准制定方式及部门</w:t>
            </w:r>
          </w:p>
        </w:tc>
        <w:tc>
          <w:tcPr>
            <w:tcW w:w="2946" w:type="dxa"/>
            <w:gridSpan w:val="5"/>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政策依据</w:t>
            </w:r>
          </w:p>
        </w:tc>
        <w:tc>
          <w:tcPr>
            <w:tcW w:w="598" w:type="dxa"/>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trPr>
        <w:tc>
          <w:tcPr>
            <w:tcW w:w="5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72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西安市雁塔区城市管理和综合执法局</w:t>
            </w:r>
          </w:p>
        </w:tc>
        <w:tc>
          <w:tcPr>
            <w:tcW w:w="1005"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本级</w:t>
            </w:r>
          </w:p>
        </w:tc>
        <w:tc>
          <w:tcPr>
            <w:tcW w:w="764"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政府部门</w:t>
            </w:r>
          </w:p>
        </w:tc>
        <w:tc>
          <w:tcPr>
            <w:tcW w:w="777"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生活垃圾处理费</w:t>
            </w:r>
          </w:p>
        </w:tc>
        <w:tc>
          <w:tcPr>
            <w:tcW w:w="723"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政府定价的经营服务性收费</w:t>
            </w:r>
          </w:p>
        </w:tc>
        <w:tc>
          <w:tcPr>
            <w:tcW w:w="1623"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城市生活垃圾的清扫、收集、处理</w:t>
            </w:r>
          </w:p>
        </w:tc>
        <w:tc>
          <w:tcPr>
            <w:tcW w:w="3436" w:type="dxa"/>
            <w:gridSpan w:val="3"/>
          </w:tcPr>
          <w:p>
            <w:pPr>
              <w:pStyle w:val="14"/>
              <w:spacing w:after="200" w:line="300" w:lineRule="exact"/>
              <w:jc w:val="both"/>
              <w:rPr>
                <w:rFonts w:ascii="Times New Roman" w:hAnsi="Times New Roman" w:eastAsia="仿宋_GB2312" w:cs="Times New Roman"/>
                <w:sz w:val="24"/>
                <w:szCs w:val="24"/>
                <w:lang w:val="en-US" w:bidi="ar-SA"/>
              </w:rPr>
            </w:pPr>
            <w:r>
              <w:rPr>
                <w:rFonts w:ascii="Times New Roman" w:hAnsi="Times New Roman" w:eastAsia="仿宋_GB2312" w:cs="Times New Roman"/>
                <w:sz w:val="24"/>
                <w:szCs w:val="24"/>
                <w:lang w:val="en-US" w:bidi="ar-SA"/>
              </w:rPr>
              <w:t>非居民生活垃圾处理收费：国家机关、部队、事业单位、社会团体、工业企业等按在岗人数收取，1元/人·月；餐饮业按营业面积大小分为由1.2元/</w:t>
            </w:r>
            <w:r>
              <w:rPr>
                <w:rFonts w:ascii="Segoe UI Symbol" w:hAnsi="Segoe UI Symbol" w:eastAsia="仿宋_GB2312" w:cs="Segoe UI Symbol"/>
                <w:sz w:val="24"/>
                <w:szCs w:val="24"/>
                <w:lang w:val="en-US" w:bidi="ar-SA"/>
              </w:rPr>
              <w:t>㎡</w:t>
            </w:r>
            <w:r>
              <w:rPr>
                <w:rFonts w:ascii="Times New Roman" w:hAnsi="Times New Roman" w:eastAsia="仿宋_GB2312" w:cs="Times New Roman"/>
                <w:sz w:val="24"/>
                <w:szCs w:val="24"/>
                <w:lang w:val="en-US" w:bidi="ar-SA"/>
              </w:rPr>
              <w:t>·月至0.8元/</w:t>
            </w:r>
            <w:r>
              <w:rPr>
                <w:rFonts w:ascii="Segoe UI Symbol" w:hAnsi="Segoe UI Symbol" w:eastAsia="仿宋_GB2312" w:cs="Segoe UI Symbol"/>
                <w:sz w:val="24"/>
                <w:szCs w:val="24"/>
                <w:lang w:val="en-US" w:bidi="ar-SA"/>
              </w:rPr>
              <w:t>㎡</w:t>
            </w:r>
            <w:r>
              <w:rPr>
                <w:rFonts w:ascii="Times New Roman" w:hAnsi="Times New Roman" w:eastAsia="仿宋_GB2312" w:cs="Times New Roman"/>
                <w:sz w:val="24"/>
                <w:szCs w:val="24"/>
                <w:lang w:val="en-US" w:bidi="ar-SA"/>
              </w:rPr>
              <w:t>·月5个收费标准，实行累进计费；旅店业按床位数结合实际床位使用率由单位按月缴纳3元/床·月；集贸市场按摊位收取，零售摊位为1元/摊位·天，批发摊位为2元/摊位·天；其他商业网点按营业面积大小区分为由0.8元/</w:t>
            </w:r>
            <w:r>
              <w:rPr>
                <w:rFonts w:ascii="Segoe UI Symbol" w:hAnsi="Segoe UI Symbol" w:eastAsia="仿宋_GB2312" w:cs="Segoe UI Symbol"/>
                <w:sz w:val="24"/>
                <w:szCs w:val="24"/>
                <w:lang w:val="en-US" w:bidi="ar-SA"/>
              </w:rPr>
              <w:t>㎡</w:t>
            </w:r>
            <w:r>
              <w:rPr>
                <w:rFonts w:ascii="Times New Roman" w:hAnsi="Times New Roman" w:eastAsia="仿宋_GB2312" w:cs="Times New Roman"/>
                <w:sz w:val="24"/>
                <w:szCs w:val="24"/>
                <w:lang w:val="en-US" w:bidi="ar-SA"/>
              </w:rPr>
              <w:t>·月至0.3元/</w:t>
            </w:r>
            <w:r>
              <w:rPr>
                <w:rFonts w:ascii="Segoe UI Symbol" w:hAnsi="Segoe UI Symbol" w:eastAsia="仿宋_GB2312" w:cs="Segoe UI Symbol"/>
                <w:sz w:val="24"/>
                <w:szCs w:val="24"/>
                <w:lang w:val="en-US" w:bidi="ar-SA"/>
              </w:rPr>
              <w:t>㎡</w:t>
            </w:r>
            <w:r>
              <w:rPr>
                <w:rFonts w:ascii="Times New Roman" w:hAnsi="Times New Roman" w:eastAsia="仿宋_GB2312" w:cs="Times New Roman"/>
                <w:sz w:val="24"/>
                <w:szCs w:val="24"/>
                <w:lang w:val="en-US" w:bidi="ar-SA"/>
              </w:rPr>
              <w:t>·月6个收费标准，实行累进计费。</w:t>
            </w:r>
          </w:p>
        </w:tc>
        <w:tc>
          <w:tcPr>
            <w:tcW w:w="970" w:type="dxa"/>
            <w:gridSpan w:val="2"/>
          </w:tcPr>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政府制定</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市政府</w:t>
            </w:r>
          </w:p>
        </w:tc>
        <w:tc>
          <w:tcPr>
            <w:tcW w:w="2946" w:type="dxa"/>
            <w:gridSpan w:val="5"/>
          </w:tcPr>
          <w:p>
            <w:pPr>
              <w:pStyle w:val="14"/>
              <w:spacing w:after="200" w:line="300" w:lineRule="exact"/>
              <w:jc w:val="center"/>
              <w:rPr>
                <w:rFonts w:ascii="Times New Roman" w:hAnsi="Times New Roman" w:eastAsia="仿宋_GB2312" w:cs="Times New Roman"/>
                <w:sz w:val="24"/>
                <w:szCs w:val="24"/>
                <w:lang w:val="en-US" w:bidi="ar-SA"/>
              </w:rPr>
            </w:pPr>
          </w:p>
          <w:p>
            <w:pPr>
              <w:pStyle w:val="14"/>
              <w:spacing w:after="200" w:line="300" w:lineRule="exact"/>
              <w:jc w:val="center"/>
              <w:rPr>
                <w:rFonts w:ascii="Times New Roman" w:hAnsi="Times New Roman" w:eastAsia="仿宋_GB2312" w:cs="Times New Roman"/>
                <w:sz w:val="24"/>
                <w:szCs w:val="24"/>
                <w:lang w:val="en-US" w:bidi="ar-SA"/>
              </w:rPr>
            </w:pPr>
          </w:p>
          <w:p>
            <w:pPr>
              <w:pStyle w:val="14"/>
              <w:spacing w:after="200" w:line="300" w:lineRule="exact"/>
              <w:jc w:val="center"/>
              <w:rPr>
                <w:rFonts w:ascii="Times New Roman" w:hAnsi="Times New Roman" w:eastAsia="仿宋_GB2312" w:cs="Times New Roman"/>
                <w:sz w:val="24"/>
                <w:szCs w:val="24"/>
                <w:lang w:val="en-US" w:bidi="ar-SA"/>
              </w:rPr>
            </w:pPr>
          </w:p>
          <w:p>
            <w:pPr>
              <w:pStyle w:val="14"/>
              <w:spacing w:after="200" w:line="300" w:lineRule="exact"/>
              <w:jc w:val="center"/>
              <w:rPr>
                <w:rFonts w:ascii="Times New Roman" w:hAnsi="Times New Roman" w:eastAsia="仿宋_GB2312" w:cs="Times New Roman"/>
                <w:sz w:val="24"/>
                <w:szCs w:val="24"/>
                <w:lang w:val="en-US" w:bidi="ar-SA"/>
              </w:rPr>
            </w:pPr>
            <w:r>
              <w:rPr>
                <w:rFonts w:ascii="Times New Roman" w:hAnsi="Times New Roman" w:eastAsia="仿宋_GB2312" w:cs="Times New Roman"/>
                <w:sz w:val="24"/>
                <w:szCs w:val="24"/>
                <w:lang w:val="en-US" w:bidi="ar-SA"/>
              </w:rPr>
              <w:t>《西安市人民政府办公厅关于转发西安市城市生活垃圾处理收费实施意见的通知》（市政办发〔2005〕71号）</w:t>
            </w:r>
          </w:p>
        </w:tc>
        <w:tc>
          <w:tcPr>
            <w:tcW w:w="598" w:type="dxa"/>
            <w:vAlign w:val="center"/>
          </w:tcPr>
          <w:p>
            <w:pPr>
              <w:spacing w:line="300" w:lineRule="exact"/>
              <w:jc w:val="center"/>
              <w:rPr>
                <w:rFonts w:ascii="Times New Roman" w:hAnsi="Times New Roman" w:eastAsia="仿宋_GB2312" w:cs="Times New Roman"/>
                <w:sz w:val="24"/>
                <w:szCs w:val="24"/>
              </w:rPr>
            </w:pPr>
          </w:p>
        </w:tc>
      </w:tr>
    </w:tbl>
    <w:p>
      <w:pPr>
        <w:adjustRightInd/>
        <w:snapToGrid/>
        <w:spacing w:after="0"/>
        <w:rPr>
          <w:rFonts w:ascii="Times New Roman" w:hAnsi="Times New Roman" w:eastAsia="方正黑体_GBK" w:cs="Times New Roman"/>
          <w:szCs w:val="32"/>
        </w:rPr>
      </w:pPr>
    </w:p>
    <w:sectPr>
      <w:footerReference r:id="rId3" w:type="default"/>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000101FF" w:csb1="00000000"/>
  </w:font>
  <w:font w:name="Courier New">
    <w:altName w:val="DejaVu Sans"/>
    <w:panose1 w:val="02070309020205020404"/>
    <w:charset w:val="00"/>
    <w:family w:val="modern"/>
    <w:pitch w:val="default"/>
    <w:sig w:usb0="00000000" w:usb1="00000000" w:usb2="00000009" w:usb3="00000000" w:csb0="000001FF" w:csb1="00000000"/>
  </w:font>
  <w:font w:name="方正仿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altName w:val="Noto Sans"/>
    <w:panose1 w:val="020B0502040204020203"/>
    <w:charset w:val="00"/>
    <w:family w:val="swiss"/>
    <w:pitch w:val="default"/>
    <w:sig w:usb0="00000000" w:usb1="00000000" w:usb2="00040000" w:usb3="00000000" w:csb0="0000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2346" w:wrap="around" w:vAnchor="text" w:hAnchor="page" w:x="12574" w:y="141"/>
      <w:ind w:right="154" w:rightChars="70"/>
      <w:jc w:val="right"/>
      <w:rPr>
        <w:rStyle w:val="7"/>
        <w:rFonts w:ascii="宋体" w:eastAsia="宋体"/>
        <w:sz w:val="28"/>
      </w:rPr>
    </w:pPr>
    <w:r>
      <w:rPr>
        <w:rStyle w:val="7"/>
        <w:rFonts w:hint="eastAsia" w:ascii="宋体" w:eastAsia="宋体"/>
        <w:sz w:val="28"/>
      </w:rPr>
      <w:t xml:space="preserve">— </w:t>
    </w:r>
    <w:r>
      <w:rPr>
        <w:rStyle w:val="7"/>
        <w:rFonts w:hint="eastAsia" w:ascii="宋体" w:eastAsia="宋体"/>
        <w:sz w:val="28"/>
      </w:rPr>
      <w:fldChar w:fldCharType="begin"/>
    </w:r>
    <w:r>
      <w:rPr>
        <w:rStyle w:val="7"/>
        <w:rFonts w:hint="eastAsia" w:ascii="宋体" w:eastAsia="宋体"/>
        <w:sz w:val="28"/>
      </w:rPr>
      <w:instrText xml:space="preserve">PAGE  </w:instrText>
    </w:r>
    <w:r>
      <w:rPr>
        <w:rStyle w:val="7"/>
        <w:rFonts w:hint="eastAsia" w:ascii="宋体" w:eastAsia="宋体"/>
        <w:sz w:val="28"/>
      </w:rPr>
      <w:fldChar w:fldCharType="separate"/>
    </w:r>
    <w:r>
      <w:rPr>
        <w:rStyle w:val="7"/>
        <w:rFonts w:ascii="宋体" w:eastAsia="宋体"/>
        <w:sz w:val="28"/>
      </w:rPr>
      <w:t>9</w:t>
    </w:r>
    <w:r>
      <w:rPr>
        <w:rStyle w:val="7"/>
        <w:rFonts w:hint="eastAsia" w:ascii="宋体" w:eastAsia="宋体"/>
        <w:sz w:val="28"/>
      </w:rPr>
      <w:fldChar w:fldCharType="end"/>
    </w:r>
    <w:r>
      <w:rPr>
        <w:rStyle w:val="7"/>
        <w:rFonts w:hint="eastAsia" w:ascii="宋体" w:eastAsia="宋体"/>
        <w:sz w:val="28"/>
      </w:rPr>
      <w:t xml:space="preserve"> —</w:t>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253F4C"/>
    <w:multiLevelType w:val="singleLevel"/>
    <w:tmpl w:val="67253F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compat>
    <w:useFELayout/>
    <w:compatSetting w:name="compatibilityMode" w:uri="http://schemas.microsoft.com/office/word" w:val="12"/>
  </w:compat>
  <w:rsids>
    <w:rsidRoot w:val="00D31D50"/>
    <w:rsid w:val="00083A72"/>
    <w:rsid w:val="000B3CBE"/>
    <w:rsid w:val="0010440F"/>
    <w:rsid w:val="00116844"/>
    <w:rsid w:val="00165800"/>
    <w:rsid w:val="001D2969"/>
    <w:rsid w:val="00242E77"/>
    <w:rsid w:val="002748F5"/>
    <w:rsid w:val="002C0DF1"/>
    <w:rsid w:val="002F6F1C"/>
    <w:rsid w:val="002F7663"/>
    <w:rsid w:val="00323B43"/>
    <w:rsid w:val="00335A8A"/>
    <w:rsid w:val="003D37D8"/>
    <w:rsid w:val="00423244"/>
    <w:rsid w:val="00424C77"/>
    <w:rsid w:val="00426133"/>
    <w:rsid w:val="004358AB"/>
    <w:rsid w:val="00452F7D"/>
    <w:rsid w:val="0049208A"/>
    <w:rsid w:val="004A45A4"/>
    <w:rsid w:val="004A4F03"/>
    <w:rsid w:val="00522739"/>
    <w:rsid w:val="00556D0C"/>
    <w:rsid w:val="00592CCC"/>
    <w:rsid w:val="005A281A"/>
    <w:rsid w:val="005F3947"/>
    <w:rsid w:val="00601FEF"/>
    <w:rsid w:val="00602C34"/>
    <w:rsid w:val="00654F34"/>
    <w:rsid w:val="0067290B"/>
    <w:rsid w:val="006B5CA7"/>
    <w:rsid w:val="006D029B"/>
    <w:rsid w:val="00717922"/>
    <w:rsid w:val="00774273"/>
    <w:rsid w:val="00784F93"/>
    <w:rsid w:val="00795CFF"/>
    <w:rsid w:val="007D5745"/>
    <w:rsid w:val="00815C27"/>
    <w:rsid w:val="0082337E"/>
    <w:rsid w:val="0082706A"/>
    <w:rsid w:val="00860720"/>
    <w:rsid w:val="00873C52"/>
    <w:rsid w:val="00897876"/>
    <w:rsid w:val="008B42D1"/>
    <w:rsid w:val="008B7726"/>
    <w:rsid w:val="0091798C"/>
    <w:rsid w:val="00937762"/>
    <w:rsid w:val="0099579C"/>
    <w:rsid w:val="00A228EF"/>
    <w:rsid w:val="00A25510"/>
    <w:rsid w:val="00AB3ED0"/>
    <w:rsid w:val="00B16AE5"/>
    <w:rsid w:val="00B23C57"/>
    <w:rsid w:val="00BB78A6"/>
    <w:rsid w:val="00BC6C07"/>
    <w:rsid w:val="00BD10D8"/>
    <w:rsid w:val="00C17956"/>
    <w:rsid w:val="00C72B8F"/>
    <w:rsid w:val="00D31D50"/>
    <w:rsid w:val="00D65738"/>
    <w:rsid w:val="00DC1921"/>
    <w:rsid w:val="00DD4A4B"/>
    <w:rsid w:val="00DE20CD"/>
    <w:rsid w:val="00E6588B"/>
    <w:rsid w:val="00E727F5"/>
    <w:rsid w:val="00EA668C"/>
    <w:rsid w:val="00F63509"/>
    <w:rsid w:val="00F70B67"/>
    <w:rsid w:val="00F87580"/>
    <w:rsid w:val="00FB73E5"/>
    <w:rsid w:val="00FD4FA3"/>
    <w:rsid w:val="76FF81F8"/>
    <w:rsid w:val="77A85028"/>
    <w:rsid w:val="AAFF4E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pPr>
      <w:widowControl w:val="0"/>
      <w:adjustRightInd/>
      <w:snapToGrid/>
      <w:spacing w:after="0"/>
      <w:jc w:val="both"/>
    </w:pPr>
    <w:rPr>
      <w:rFonts w:ascii="宋体" w:hAnsi="Courier New" w:eastAsia="宋体" w:cs="Times New Roman"/>
      <w:kern w:val="2"/>
      <w:sz w:val="21"/>
      <w:szCs w:val="20"/>
    </w:rPr>
  </w:style>
  <w:style w:type="paragraph" w:styleId="3">
    <w:name w:val="footer"/>
    <w:basedOn w:val="1"/>
    <w:link w:val="9"/>
    <w:qFormat/>
    <w:uiPriority w:val="0"/>
    <w:pPr>
      <w:widowControl w:val="0"/>
      <w:tabs>
        <w:tab w:val="center" w:pos="4153"/>
        <w:tab w:val="right" w:pos="8306"/>
      </w:tabs>
      <w:adjustRightInd/>
      <w:spacing w:after="0"/>
    </w:pPr>
    <w:rPr>
      <w:rFonts w:ascii="Times New Roman" w:hAnsi="Times New Roman" w:eastAsia="方正仿宋简体" w:cs="Times New Roman"/>
      <w:kern w:val="2"/>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character" w:styleId="7">
    <w:name w:val="page number"/>
    <w:qFormat/>
    <w:uiPriority w:val="0"/>
  </w:style>
  <w:style w:type="character" w:customStyle="1" w:styleId="8">
    <w:name w:val="纯文本 Char"/>
    <w:basedOn w:val="6"/>
    <w:link w:val="2"/>
    <w:qFormat/>
    <w:uiPriority w:val="0"/>
    <w:rPr>
      <w:rFonts w:ascii="宋体" w:hAnsi="Courier New" w:eastAsia="宋体" w:cs="Times New Roman"/>
      <w:kern w:val="2"/>
      <w:sz w:val="21"/>
      <w:szCs w:val="20"/>
    </w:rPr>
  </w:style>
  <w:style w:type="character" w:customStyle="1" w:styleId="9">
    <w:name w:val="页脚 Char"/>
    <w:basedOn w:val="6"/>
    <w:link w:val="3"/>
    <w:qFormat/>
    <w:uiPriority w:val="0"/>
    <w:rPr>
      <w:rFonts w:ascii="Times New Roman" w:hAnsi="Times New Roman" w:eastAsia="方正仿宋简体" w:cs="Times New Roman"/>
      <w:kern w:val="2"/>
      <w:sz w:val="18"/>
      <w:szCs w:val="18"/>
    </w:rPr>
  </w:style>
  <w:style w:type="paragraph" w:customStyle="1" w:styleId="10">
    <w:name w:val="Table Text"/>
    <w:basedOn w:val="1"/>
    <w:semiHidden/>
    <w:qFormat/>
    <w:uiPriority w:val="0"/>
    <w:rPr>
      <w:rFonts w:ascii="宋体" w:hAnsi="宋体" w:eastAsia="宋体" w:cs="宋体"/>
      <w:sz w:val="20"/>
      <w:szCs w:val="20"/>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9-文号"/>
    <w:basedOn w:val="1"/>
    <w:qFormat/>
    <w:uiPriority w:val="0"/>
    <w:pPr>
      <w:overflowPunct w:val="0"/>
      <w:spacing w:beforeLines="65" w:afterLines="35"/>
      <w:jc w:val="center"/>
    </w:pPr>
    <w:rPr>
      <w:rFonts w:ascii="方正楷体简体" w:eastAsia="方正楷体简体"/>
      <w:sz w:val="24"/>
    </w:rPr>
  </w:style>
  <w:style w:type="character" w:customStyle="1" w:styleId="13">
    <w:name w:val="页眉 Char"/>
    <w:basedOn w:val="6"/>
    <w:link w:val="4"/>
    <w:qFormat/>
    <w:uiPriority w:val="99"/>
    <w:rPr>
      <w:rFonts w:ascii="Tahoma" w:hAnsi="Tahoma"/>
      <w:sz w:val="18"/>
      <w:szCs w:val="18"/>
    </w:rPr>
  </w:style>
  <w:style w:type="paragraph" w:customStyle="1" w:styleId="14">
    <w:name w:val="Table Paragraph"/>
    <w:basedOn w:val="1"/>
    <w:qFormat/>
    <w:uiPriority w:val="1"/>
    <w:pPr>
      <w:widowControl w:val="0"/>
      <w:autoSpaceDE w:val="0"/>
      <w:autoSpaceDN w:val="0"/>
      <w:adjustRightInd/>
      <w:snapToGrid/>
      <w:spacing w:after="0"/>
    </w:pPr>
    <w:rPr>
      <w:rFonts w:ascii="黑体" w:hAnsi="黑体" w:eastAsia="黑体" w:cs="黑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3982</Words>
  <Characters>1207</Characters>
  <Lines>10</Lines>
  <Paragraphs>10</Paragraphs>
  <TotalTime>12</TotalTime>
  <ScaleCrop>false</ScaleCrop>
  <LinksUpToDate>false</LinksUpToDate>
  <CharactersWithSpaces>5179</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2025-10-10T14:05:00Z</dcterms:created>
  <dc:creator>HTSW</dc:creator>
  <cp:lastModifiedBy>fgw</cp:lastModifiedBy>
  <cp:lastPrinted>2025-10-10T14:23:00Z</cp:lastPrinted>
  <dcterms:modified xsi:type="dcterms:W3CDTF">2025-10-28T09:13:13Z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5B49833FA3884546B59B87ACC6FC0437</vt:lpwstr>
  </property>
</Properties>
</file>