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7A6B0">
      <w:pPr>
        <w:jc w:val="center"/>
        <w:rPr>
          <w:rFonts w:ascii="仿宋" w:hAnsi="仿宋" w:eastAsia="仿宋" w:cs="仿宋"/>
          <w:sz w:val="32"/>
          <w:szCs w:val="32"/>
        </w:rPr>
      </w:pPr>
    </w:p>
    <w:p w14:paraId="024FEC85">
      <w:pPr>
        <w:pStyle w:val="3"/>
        <w:spacing w:before="0" w:after="0" w:line="560" w:lineRule="exact"/>
        <w:contextualSpacing/>
        <w:jc w:val="center"/>
        <w:rPr>
          <w:rFonts w:ascii="仿宋" w:hAnsi="仿宋" w:eastAsia="仿宋" w:cs="仿宋"/>
          <w:sz w:val="32"/>
          <w:szCs w:val="32"/>
        </w:rPr>
      </w:pPr>
      <w:bookmarkStart w:id="0" w:name="_Toc101253357"/>
      <w:r>
        <w:rPr>
          <w:rFonts w:hint="eastAsia" w:ascii="仿宋" w:hAnsi="仿宋" w:eastAsia="仿宋" w:cs="仿宋"/>
          <w:sz w:val="32"/>
          <w:szCs w:val="32"/>
        </w:rPr>
        <w:t>前  言</w:t>
      </w:r>
      <w:bookmarkEnd w:id="0"/>
    </w:p>
    <w:p w14:paraId="2390E35A">
      <w:pPr>
        <w:pStyle w:val="27"/>
        <w:ind w:left="0" w:leftChars="0" w:firstLine="640"/>
        <w:rPr>
          <w:rFonts w:ascii="仿宋" w:hAnsi="仿宋" w:eastAsia="仿宋" w:cs="仿宋"/>
          <w:sz w:val="32"/>
          <w:szCs w:val="32"/>
        </w:rPr>
      </w:pPr>
      <w:r>
        <w:rPr>
          <w:rFonts w:hint="eastAsia" w:ascii="仿宋" w:hAnsi="仿宋" w:eastAsia="仿宋" w:cs="仿宋"/>
          <w:sz w:val="32"/>
          <w:szCs w:val="32"/>
        </w:rPr>
        <w:t>“十四五”（2021-2025年），是我国全面建成小康社会、实现第一个百年目标之后，乘势而上开启全面建设社会主义现代化国家新征程、向第二个百年奋斗目标进军的第一个五年，也是雁塔区全面贯彻党的十九大精神，推进西安市建设“一带一路”综合试验区的重要时期。为贯彻落实国家、陕西省和西安市“十四五”生态环境保护规划，统筹谋划生态环境保护各项工作，全面提升生态环境保护水平，推动生态环境质量持续好转，雁塔区区委、区政府组织开展了《雁塔区“十四五”生态环境保护规划》（以下简称《规划》）编制工作。</w:t>
      </w:r>
    </w:p>
    <w:p w14:paraId="1DDC79D9">
      <w:pPr>
        <w:pStyle w:val="27"/>
        <w:ind w:left="0" w:leftChars="0" w:firstLine="640"/>
        <w:rPr>
          <w:rFonts w:ascii="仿宋" w:hAnsi="仿宋" w:eastAsia="仿宋" w:cs="仿宋"/>
          <w:sz w:val="32"/>
          <w:szCs w:val="32"/>
        </w:rPr>
      </w:pPr>
      <w:r>
        <w:rPr>
          <w:rFonts w:hint="eastAsia" w:ascii="仿宋" w:hAnsi="仿宋" w:eastAsia="仿宋" w:cs="仿宋"/>
          <w:sz w:val="32"/>
          <w:szCs w:val="32"/>
        </w:rPr>
        <w:t>《规划》深入贯彻习近平生态文明思想及党的十九大和十九届二中、三中、四中、五中、六中全会精神，深入贯彻习近平总书记系列重要讲话精神和治国理政新理念新思想新战略，坚持创新、协调、绿色、开放、共享的发展理念，在深刻把握雁塔区生态文明建设现实状况与面临形势的基础上，明确“十四五”时期加快推进生态环境保护工作的指导思想、基本原则、奋斗目标、主要任务、重大工程和政策措施，为改善区域生态环境质量，建设生态雁塔提供重要支撑和保障。</w:t>
      </w:r>
    </w:p>
    <w:p w14:paraId="041B6CE1">
      <w:pPr>
        <w:widowControl/>
        <w:jc w:val="left"/>
        <w:rPr>
          <w:rFonts w:ascii="仿宋" w:hAnsi="仿宋" w:eastAsia="仿宋" w:cs="仿宋"/>
          <w:sz w:val="32"/>
          <w:szCs w:val="32"/>
        </w:rPr>
        <w:sectPr>
          <w:pgSz w:w="11906" w:h="16838"/>
          <w:pgMar w:top="1701" w:right="1474" w:bottom="1701" w:left="1588" w:header="851" w:footer="992" w:gutter="0"/>
          <w:cols w:space="720" w:num="1"/>
          <w:docGrid w:type="lines" w:linePitch="312" w:charSpace="0"/>
        </w:sectPr>
      </w:pPr>
    </w:p>
    <w:p w14:paraId="3465E568">
      <w:pPr>
        <w:jc w:val="center"/>
        <w:rPr>
          <w:rFonts w:ascii="仿宋" w:hAnsi="仿宋" w:eastAsia="仿宋"/>
          <w:b/>
          <w:sz w:val="32"/>
          <w:szCs w:val="32"/>
        </w:rPr>
      </w:pPr>
      <w:bookmarkStart w:id="1" w:name="_Toc466886008"/>
      <w:bookmarkStart w:id="2" w:name="_Toc8500"/>
      <w:bookmarkStart w:id="3" w:name="_Toc20823"/>
      <w:bookmarkStart w:id="4" w:name="_Toc2373"/>
      <w:bookmarkStart w:id="5" w:name="_Toc27392"/>
      <w:bookmarkStart w:id="6" w:name="_Toc1864"/>
      <w:bookmarkStart w:id="7" w:name="_Toc19297"/>
      <w:bookmarkStart w:id="8" w:name="_Toc460487274"/>
      <w:bookmarkStart w:id="9" w:name="_Toc513"/>
      <w:bookmarkStart w:id="10" w:name="_Toc5982"/>
      <w:r>
        <w:rPr>
          <w:rFonts w:hint="eastAsia" w:ascii="仿宋" w:hAnsi="仿宋" w:eastAsia="仿宋" w:cs="仿宋"/>
          <w:b/>
          <w:sz w:val="32"/>
          <w:szCs w:val="32"/>
        </w:rPr>
        <w:t>目  录</w:t>
      </w:r>
      <w:bookmarkEnd w:id="1"/>
      <w:bookmarkEnd w:id="2"/>
      <w:bookmarkEnd w:id="3"/>
      <w:bookmarkEnd w:id="4"/>
      <w:bookmarkEnd w:id="5"/>
      <w:bookmarkEnd w:id="6"/>
      <w:bookmarkEnd w:id="7"/>
      <w:bookmarkEnd w:id="8"/>
      <w:bookmarkEnd w:id="9"/>
      <w:bookmarkEnd w:id="10"/>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TOC \o "1-2" \h \u </w:instrText>
      </w:r>
      <w:r>
        <w:rPr>
          <w:rFonts w:hint="eastAsia" w:ascii="仿宋" w:hAnsi="仿宋" w:eastAsia="仿宋" w:cs="仿宋"/>
          <w:b/>
          <w:sz w:val="32"/>
          <w:szCs w:val="32"/>
        </w:rPr>
        <w:fldChar w:fldCharType="separate"/>
      </w:r>
    </w:p>
    <w:p w14:paraId="465B733D">
      <w:pPr>
        <w:pStyle w:val="19"/>
        <w:tabs>
          <w:tab w:val="right" w:leader="dot" w:pos="8296"/>
        </w:tabs>
        <w:rPr>
          <w:rFonts w:ascii="仿宋" w:hAnsi="仿宋" w:eastAsia="仿宋" w:cstheme="minorBidi"/>
          <w:sz w:val="30"/>
          <w:szCs w:val="30"/>
        </w:rPr>
      </w:pPr>
      <w:r>
        <w:fldChar w:fldCharType="begin"/>
      </w:r>
      <w:r>
        <w:instrText xml:space="preserve"> HYPERLINK \l "_Toc101253358" </w:instrText>
      </w:r>
      <w:r>
        <w:fldChar w:fldCharType="separate"/>
      </w:r>
      <w:r>
        <w:rPr>
          <w:rStyle w:val="33"/>
          <w:rFonts w:ascii="仿宋" w:hAnsi="仿宋" w:eastAsia="仿宋" w:cs="仿宋"/>
          <w:color w:val="auto"/>
          <w:sz w:val="30"/>
          <w:szCs w:val="30"/>
        </w:rPr>
        <w:t>第一章  雁塔区生态环境保护工作成效与面临形势</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_Toc101253358 \h </w:instrText>
      </w:r>
      <w:r>
        <w:rPr>
          <w:rFonts w:ascii="仿宋" w:hAnsi="仿宋" w:eastAsia="仿宋"/>
          <w:sz w:val="30"/>
          <w:szCs w:val="30"/>
        </w:rPr>
        <w:fldChar w:fldCharType="separate"/>
      </w:r>
      <w:r>
        <w:rPr>
          <w:rFonts w:ascii="仿宋" w:hAnsi="仿宋" w:eastAsia="仿宋"/>
          <w:sz w:val="30"/>
          <w:szCs w:val="30"/>
        </w:rPr>
        <w:t>1</w:t>
      </w:r>
      <w:r>
        <w:rPr>
          <w:rFonts w:ascii="仿宋" w:hAnsi="仿宋" w:eastAsia="仿宋"/>
          <w:sz w:val="30"/>
          <w:szCs w:val="30"/>
        </w:rPr>
        <w:fldChar w:fldCharType="end"/>
      </w:r>
      <w:r>
        <w:rPr>
          <w:rFonts w:ascii="仿宋" w:hAnsi="仿宋" w:eastAsia="仿宋"/>
          <w:sz w:val="30"/>
          <w:szCs w:val="30"/>
        </w:rPr>
        <w:fldChar w:fldCharType="end"/>
      </w:r>
    </w:p>
    <w:p w14:paraId="480E74CE">
      <w:pPr>
        <w:pStyle w:val="22"/>
        <w:tabs>
          <w:tab w:val="right" w:leader="dot" w:pos="8296"/>
        </w:tabs>
        <w:rPr>
          <w:rFonts w:ascii="仿宋" w:hAnsi="仿宋" w:eastAsia="仿宋" w:cstheme="minorBidi"/>
          <w:sz w:val="30"/>
          <w:szCs w:val="30"/>
        </w:rPr>
      </w:pPr>
      <w:r>
        <w:fldChar w:fldCharType="begin"/>
      </w:r>
      <w:r>
        <w:instrText xml:space="preserve"> HYPERLINK \l "_Toc101253359" </w:instrText>
      </w:r>
      <w:r>
        <w:fldChar w:fldCharType="separate"/>
      </w:r>
      <w:r>
        <w:rPr>
          <w:rStyle w:val="33"/>
          <w:rFonts w:ascii="仿宋" w:hAnsi="仿宋" w:eastAsia="仿宋" w:cs="仿宋"/>
          <w:color w:val="auto"/>
          <w:sz w:val="30"/>
          <w:szCs w:val="30"/>
        </w:rPr>
        <w:t>第一节  “十三五”环境保护与生态文明建设取得的成效</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_Toc101253359 \h </w:instrText>
      </w:r>
      <w:r>
        <w:rPr>
          <w:rFonts w:ascii="仿宋" w:hAnsi="仿宋" w:eastAsia="仿宋"/>
          <w:sz w:val="30"/>
          <w:szCs w:val="30"/>
        </w:rPr>
        <w:fldChar w:fldCharType="separate"/>
      </w:r>
      <w:r>
        <w:rPr>
          <w:rFonts w:ascii="仿宋" w:hAnsi="仿宋" w:eastAsia="仿宋"/>
          <w:sz w:val="30"/>
          <w:szCs w:val="30"/>
        </w:rPr>
        <w:t>1</w:t>
      </w:r>
      <w:r>
        <w:rPr>
          <w:rFonts w:ascii="仿宋" w:hAnsi="仿宋" w:eastAsia="仿宋"/>
          <w:sz w:val="30"/>
          <w:szCs w:val="30"/>
        </w:rPr>
        <w:fldChar w:fldCharType="end"/>
      </w:r>
      <w:r>
        <w:rPr>
          <w:rFonts w:ascii="仿宋" w:hAnsi="仿宋" w:eastAsia="仿宋"/>
          <w:sz w:val="30"/>
          <w:szCs w:val="30"/>
        </w:rPr>
        <w:fldChar w:fldCharType="end"/>
      </w:r>
    </w:p>
    <w:p w14:paraId="5E6ABF1A">
      <w:pPr>
        <w:pStyle w:val="22"/>
        <w:tabs>
          <w:tab w:val="right" w:leader="dot" w:pos="8296"/>
        </w:tabs>
        <w:rPr>
          <w:rFonts w:ascii="仿宋" w:hAnsi="仿宋" w:eastAsia="仿宋" w:cstheme="minorBidi"/>
          <w:sz w:val="30"/>
          <w:szCs w:val="30"/>
        </w:rPr>
      </w:pPr>
      <w:r>
        <w:fldChar w:fldCharType="begin"/>
      </w:r>
      <w:r>
        <w:instrText xml:space="preserve"> HYPERLINK \l "_Toc101253360" </w:instrText>
      </w:r>
      <w:r>
        <w:fldChar w:fldCharType="separate"/>
      </w:r>
      <w:r>
        <w:rPr>
          <w:rStyle w:val="33"/>
          <w:rFonts w:ascii="仿宋" w:hAnsi="仿宋" w:eastAsia="仿宋" w:cs="仿宋"/>
          <w:color w:val="auto"/>
          <w:sz w:val="30"/>
          <w:szCs w:val="30"/>
        </w:rPr>
        <w:t>第二节  “十四五”生态环境保护面临的主要问题</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_Toc101253360 \h </w:instrText>
      </w:r>
      <w:r>
        <w:rPr>
          <w:rFonts w:ascii="仿宋" w:hAnsi="仿宋" w:eastAsia="仿宋"/>
          <w:sz w:val="30"/>
          <w:szCs w:val="30"/>
        </w:rPr>
        <w:fldChar w:fldCharType="separate"/>
      </w:r>
      <w:r>
        <w:rPr>
          <w:rFonts w:ascii="仿宋" w:hAnsi="仿宋" w:eastAsia="仿宋"/>
          <w:sz w:val="30"/>
          <w:szCs w:val="30"/>
        </w:rPr>
        <w:t>7</w:t>
      </w:r>
      <w:r>
        <w:rPr>
          <w:rFonts w:ascii="仿宋" w:hAnsi="仿宋" w:eastAsia="仿宋"/>
          <w:sz w:val="30"/>
          <w:szCs w:val="30"/>
        </w:rPr>
        <w:fldChar w:fldCharType="end"/>
      </w:r>
      <w:r>
        <w:rPr>
          <w:rFonts w:ascii="仿宋" w:hAnsi="仿宋" w:eastAsia="仿宋"/>
          <w:sz w:val="30"/>
          <w:szCs w:val="30"/>
        </w:rPr>
        <w:fldChar w:fldCharType="end"/>
      </w:r>
    </w:p>
    <w:p w14:paraId="460D57B1">
      <w:pPr>
        <w:pStyle w:val="22"/>
        <w:tabs>
          <w:tab w:val="right" w:leader="dot" w:pos="8296"/>
        </w:tabs>
        <w:rPr>
          <w:rFonts w:ascii="仿宋" w:hAnsi="仿宋" w:eastAsia="仿宋" w:cstheme="minorBidi"/>
          <w:sz w:val="30"/>
          <w:szCs w:val="30"/>
        </w:rPr>
      </w:pPr>
      <w:r>
        <w:fldChar w:fldCharType="begin"/>
      </w:r>
      <w:r>
        <w:instrText xml:space="preserve"> HYPERLINK \l "_Toc101253361" </w:instrText>
      </w:r>
      <w:r>
        <w:fldChar w:fldCharType="separate"/>
      </w:r>
      <w:r>
        <w:rPr>
          <w:rStyle w:val="33"/>
          <w:rFonts w:ascii="仿宋" w:hAnsi="仿宋" w:eastAsia="仿宋" w:cs="仿宋"/>
          <w:color w:val="auto"/>
          <w:sz w:val="30"/>
          <w:szCs w:val="30"/>
        </w:rPr>
        <w:t>第三节  “十四五”生态环境保护面临的机遇和挑战</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_Toc101253361 \h </w:instrText>
      </w:r>
      <w:r>
        <w:rPr>
          <w:rFonts w:ascii="仿宋" w:hAnsi="仿宋" w:eastAsia="仿宋"/>
          <w:sz w:val="30"/>
          <w:szCs w:val="30"/>
        </w:rPr>
        <w:fldChar w:fldCharType="separate"/>
      </w:r>
      <w:r>
        <w:rPr>
          <w:rFonts w:ascii="仿宋" w:hAnsi="仿宋" w:eastAsia="仿宋"/>
          <w:sz w:val="30"/>
          <w:szCs w:val="30"/>
        </w:rPr>
        <w:t>9</w:t>
      </w:r>
      <w:r>
        <w:rPr>
          <w:rFonts w:ascii="仿宋" w:hAnsi="仿宋" w:eastAsia="仿宋"/>
          <w:sz w:val="30"/>
          <w:szCs w:val="30"/>
        </w:rPr>
        <w:fldChar w:fldCharType="end"/>
      </w:r>
      <w:r>
        <w:rPr>
          <w:rFonts w:ascii="仿宋" w:hAnsi="仿宋" w:eastAsia="仿宋"/>
          <w:sz w:val="30"/>
          <w:szCs w:val="30"/>
        </w:rPr>
        <w:fldChar w:fldCharType="end"/>
      </w:r>
    </w:p>
    <w:p w14:paraId="61B3B789">
      <w:pPr>
        <w:pStyle w:val="19"/>
        <w:tabs>
          <w:tab w:val="right" w:leader="dot" w:pos="8296"/>
        </w:tabs>
        <w:rPr>
          <w:rFonts w:ascii="仿宋" w:hAnsi="仿宋" w:eastAsia="仿宋" w:cstheme="minorBidi"/>
          <w:sz w:val="30"/>
          <w:szCs w:val="30"/>
        </w:rPr>
      </w:pPr>
      <w:r>
        <w:fldChar w:fldCharType="begin"/>
      </w:r>
      <w:r>
        <w:instrText xml:space="preserve"> HYPERLINK \l "_Toc101253362" </w:instrText>
      </w:r>
      <w:r>
        <w:fldChar w:fldCharType="separate"/>
      </w:r>
      <w:r>
        <w:rPr>
          <w:rStyle w:val="33"/>
          <w:rFonts w:ascii="仿宋" w:hAnsi="仿宋" w:eastAsia="仿宋" w:cs="仿宋"/>
          <w:color w:val="auto"/>
          <w:sz w:val="30"/>
          <w:szCs w:val="30"/>
        </w:rPr>
        <w:t>第二章  规划方针与目标</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_Toc101253362 \h </w:instrText>
      </w:r>
      <w:r>
        <w:rPr>
          <w:rFonts w:ascii="仿宋" w:hAnsi="仿宋" w:eastAsia="仿宋"/>
          <w:sz w:val="30"/>
          <w:szCs w:val="30"/>
        </w:rPr>
        <w:fldChar w:fldCharType="separate"/>
      </w:r>
      <w:r>
        <w:rPr>
          <w:rFonts w:ascii="仿宋" w:hAnsi="仿宋" w:eastAsia="仿宋"/>
          <w:sz w:val="30"/>
          <w:szCs w:val="30"/>
        </w:rPr>
        <w:t>11</w:t>
      </w:r>
      <w:r>
        <w:rPr>
          <w:rFonts w:ascii="仿宋" w:hAnsi="仿宋" w:eastAsia="仿宋"/>
          <w:sz w:val="30"/>
          <w:szCs w:val="30"/>
        </w:rPr>
        <w:fldChar w:fldCharType="end"/>
      </w:r>
      <w:r>
        <w:rPr>
          <w:rFonts w:ascii="仿宋" w:hAnsi="仿宋" w:eastAsia="仿宋"/>
          <w:sz w:val="30"/>
          <w:szCs w:val="30"/>
        </w:rPr>
        <w:fldChar w:fldCharType="end"/>
      </w:r>
    </w:p>
    <w:p w14:paraId="28F0E47E">
      <w:pPr>
        <w:pStyle w:val="22"/>
        <w:tabs>
          <w:tab w:val="right" w:leader="dot" w:pos="8296"/>
        </w:tabs>
        <w:rPr>
          <w:rFonts w:ascii="仿宋" w:hAnsi="仿宋" w:eastAsia="仿宋" w:cstheme="minorBidi"/>
          <w:sz w:val="30"/>
          <w:szCs w:val="30"/>
        </w:rPr>
      </w:pPr>
      <w:r>
        <w:fldChar w:fldCharType="begin"/>
      </w:r>
      <w:r>
        <w:instrText xml:space="preserve"> HYPERLINK \l "_Toc101253363" </w:instrText>
      </w:r>
      <w:r>
        <w:fldChar w:fldCharType="separate"/>
      </w:r>
      <w:r>
        <w:rPr>
          <w:rStyle w:val="33"/>
          <w:rFonts w:ascii="仿宋" w:hAnsi="仿宋" w:eastAsia="仿宋" w:cs="仿宋"/>
          <w:color w:val="auto"/>
          <w:sz w:val="30"/>
          <w:szCs w:val="30"/>
        </w:rPr>
        <w:t>第一节  指导思想</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_Toc101253363 \h </w:instrText>
      </w:r>
      <w:r>
        <w:rPr>
          <w:rFonts w:ascii="仿宋" w:hAnsi="仿宋" w:eastAsia="仿宋"/>
          <w:sz w:val="30"/>
          <w:szCs w:val="30"/>
        </w:rPr>
        <w:fldChar w:fldCharType="separate"/>
      </w:r>
      <w:r>
        <w:rPr>
          <w:rFonts w:ascii="仿宋" w:hAnsi="仿宋" w:eastAsia="仿宋"/>
          <w:sz w:val="30"/>
          <w:szCs w:val="30"/>
        </w:rPr>
        <w:t>11</w:t>
      </w:r>
      <w:r>
        <w:rPr>
          <w:rFonts w:ascii="仿宋" w:hAnsi="仿宋" w:eastAsia="仿宋"/>
          <w:sz w:val="30"/>
          <w:szCs w:val="30"/>
        </w:rPr>
        <w:fldChar w:fldCharType="end"/>
      </w:r>
      <w:r>
        <w:rPr>
          <w:rFonts w:ascii="仿宋" w:hAnsi="仿宋" w:eastAsia="仿宋"/>
          <w:sz w:val="30"/>
          <w:szCs w:val="30"/>
        </w:rPr>
        <w:fldChar w:fldCharType="end"/>
      </w:r>
    </w:p>
    <w:p w14:paraId="6692858E">
      <w:pPr>
        <w:pStyle w:val="22"/>
        <w:tabs>
          <w:tab w:val="right" w:leader="dot" w:pos="8296"/>
        </w:tabs>
        <w:rPr>
          <w:rFonts w:ascii="仿宋" w:hAnsi="仿宋" w:eastAsia="仿宋" w:cstheme="minorBidi"/>
          <w:sz w:val="30"/>
          <w:szCs w:val="30"/>
        </w:rPr>
      </w:pPr>
      <w:r>
        <w:fldChar w:fldCharType="begin"/>
      </w:r>
      <w:r>
        <w:instrText xml:space="preserve"> HYPERLINK \l "_Toc101253364" </w:instrText>
      </w:r>
      <w:r>
        <w:fldChar w:fldCharType="separate"/>
      </w:r>
      <w:r>
        <w:rPr>
          <w:rStyle w:val="33"/>
          <w:rFonts w:ascii="仿宋" w:hAnsi="仿宋" w:eastAsia="仿宋" w:cs="仿宋"/>
          <w:color w:val="auto"/>
          <w:sz w:val="30"/>
          <w:szCs w:val="30"/>
        </w:rPr>
        <w:t>第二节  规划原则</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_Toc101253364 \h </w:instrText>
      </w:r>
      <w:r>
        <w:rPr>
          <w:rFonts w:ascii="仿宋" w:hAnsi="仿宋" w:eastAsia="仿宋"/>
          <w:sz w:val="30"/>
          <w:szCs w:val="30"/>
        </w:rPr>
        <w:fldChar w:fldCharType="separate"/>
      </w:r>
      <w:r>
        <w:rPr>
          <w:rFonts w:ascii="仿宋" w:hAnsi="仿宋" w:eastAsia="仿宋"/>
          <w:sz w:val="30"/>
          <w:szCs w:val="30"/>
        </w:rPr>
        <w:t>11</w:t>
      </w:r>
      <w:r>
        <w:rPr>
          <w:rFonts w:ascii="仿宋" w:hAnsi="仿宋" w:eastAsia="仿宋"/>
          <w:sz w:val="30"/>
          <w:szCs w:val="30"/>
        </w:rPr>
        <w:fldChar w:fldCharType="end"/>
      </w:r>
      <w:r>
        <w:rPr>
          <w:rFonts w:ascii="仿宋" w:hAnsi="仿宋" w:eastAsia="仿宋"/>
          <w:sz w:val="30"/>
          <w:szCs w:val="30"/>
        </w:rPr>
        <w:fldChar w:fldCharType="end"/>
      </w:r>
    </w:p>
    <w:p w14:paraId="5CDC7DC2">
      <w:pPr>
        <w:pStyle w:val="19"/>
        <w:tabs>
          <w:tab w:val="right" w:leader="dot" w:pos="8296"/>
        </w:tabs>
        <w:rPr>
          <w:rFonts w:ascii="仿宋" w:hAnsi="仿宋" w:eastAsia="仿宋" w:cstheme="minorBidi"/>
          <w:sz w:val="30"/>
          <w:szCs w:val="30"/>
        </w:rPr>
      </w:pPr>
      <w:r>
        <w:fldChar w:fldCharType="begin"/>
      </w:r>
      <w:r>
        <w:instrText xml:space="preserve"> HYPERLINK \l "_Toc101253365" </w:instrText>
      </w:r>
      <w:r>
        <w:fldChar w:fldCharType="separate"/>
      </w:r>
      <w:r>
        <w:rPr>
          <w:rStyle w:val="33"/>
          <w:rFonts w:ascii="仿宋" w:hAnsi="仿宋" w:eastAsia="仿宋" w:cs="仿宋"/>
          <w:color w:val="auto"/>
          <w:sz w:val="30"/>
          <w:szCs w:val="30"/>
        </w:rPr>
        <w:t>第三章  推动产业循环发展，促进经济高质量发展</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_Toc101253365 \h </w:instrText>
      </w:r>
      <w:r>
        <w:rPr>
          <w:rFonts w:ascii="仿宋" w:hAnsi="仿宋" w:eastAsia="仿宋"/>
          <w:sz w:val="30"/>
          <w:szCs w:val="30"/>
        </w:rPr>
        <w:fldChar w:fldCharType="separate"/>
      </w:r>
      <w:r>
        <w:rPr>
          <w:rFonts w:ascii="仿宋" w:hAnsi="仿宋" w:eastAsia="仿宋"/>
          <w:sz w:val="30"/>
          <w:szCs w:val="30"/>
        </w:rPr>
        <w:t>15</w:t>
      </w:r>
      <w:r>
        <w:rPr>
          <w:rFonts w:ascii="仿宋" w:hAnsi="仿宋" w:eastAsia="仿宋"/>
          <w:sz w:val="30"/>
          <w:szCs w:val="30"/>
        </w:rPr>
        <w:fldChar w:fldCharType="end"/>
      </w:r>
      <w:r>
        <w:rPr>
          <w:rFonts w:ascii="仿宋" w:hAnsi="仿宋" w:eastAsia="仿宋"/>
          <w:sz w:val="30"/>
          <w:szCs w:val="30"/>
        </w:rPr>
        <w:fldChar w:fldCharType="end"/>
      </w:r>
    </w:p>
    <w:p w14:paraId="116F733A">
      <w:pPr>
        <w:pStyle w:val="22"/>
        <w:tabs>
          <w:tab w:val="right" w:leader="dot" w:pos="8296"/>
        </w:tabs>
        <w:rPr>
          <w:rFonts w:ascii="仿宋" w:hAnsi="仿宋" w:eastAsia="仿宋" w:cstheme="minorBidi"/>
          <w:sz w:val="30"/>
          <w:szCs w:val="30"/>
        </w:rPr>
      </w:pPr>
      <w:r>
        <w:fldChar w:fldCharType="begin"/>
      </w:r>
      <w:r>
        <w:instrText xml:space="preserve"> HYPERLINK \l "_Toc101253366" </w:instrText>
      </w:r>
      <w:r>
        <w:fldChar w:fldCharType="separate"/>
      </w:r>
      <w:r>
        <w:rPr>
          <w:rStyle w:val="33"/>
          <w:rFonts w:ascii="仿宋" w:hAnsi="仿宋" w:eastAsia="仿宋" w:cs="仿宋"/>
          <w:color w:val="auto"/>
          <w:sz w:val="30"/>
          <w:szCs w:val="30"/>
        </w:rPr>
        <w:t>第一节  严格管控“三线一单”，推进绿色城市建设</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_Toc101253366 \h </w:instrText>
      </w:r>
      <w:r>
        <w:rPr>
          <w:rFonts w:ascii="仿宋" w:hAnsi="仿宋" w:eastAsia="仿宋"/>
          <w:sz w:val="30"/>
          <w:szCs w:val="30"/>
        </w:rPr>
        <w:fldChar w:fldCharType="separate"/>
      </w:r>
      <w:r>
        <w:rPr>
          <w:rFonts w:ascii="仿宋" w:hAnsi="仿宋" w:eastAsia="仿宋"/>
          <w:sz w:val="30"/>
          <w:szCs w:val="30"/>
        </w:rPr>
        <w:t>15</w:t>
      </w:r>
      <w:r>
        <w:rPr>
          <w:rFonts w:ascii="仿宋" w:hAnsi="仿宋" w:eastAsia="仿宋"/>
          <w:sz w:val="30"/>
          <w:szCs w:val="30"/>
        </w:rPr>
        <w:fldChar w:fldCharType="end"/>
      </w:r>
      <w:r>
        <w:rPr>
          <w:rFonts w:ascii="仿宋" w:hAnsi="仿宋" w:eastAsia="仿宋"/>
          <w:sz w:val="30"/>
          <w:szCs w:val="30"/>
        </w:rPr>
        <w:fldChar w:fldCharType="end"/>
      </w:r>
    </w:p>
    <w:p w14:paraId="53FA2AFE">
      <w:pPr>
        <w:pStyle w:val="22"/>
        <w:tabs>
          <w:tab w:val="right" w:leader="dot" w:pos="8296"/>
        </w:tabs>
        <w:rPr>
          <w:rFonts w:ascii="仿宋" w:hAnsi="仿宋" w:eastAsia="仿宋" w:cstheme="minorBidi"/>
          <w:sz w:val="30"/>
          <w:szCs w:val="30"/>
        </w:rPr>
      </w:pPr>
      <w:r>
        <w:fldChar w:fldCharType="begin"/>
      </w:r>
      <w:r>
        <w:instrText xml:space="preserve"> HYPERLINK \l "_Toc101253367" </w:instrText>
      </w:r>
      <w:r>
        <w:fldChar w:fldCharType="separate"/>
      </w:r>
      <w:r>
        <w:rPr>
          <w:rStyle w:val="33"/>
          <w:rFonts w:ascii="仿宋" w:hAnsi="仿宋" w:eastAsia="仿宋" w:cs="仿宋"/>
          <w:color w:val="auto"/>
          <w:sz w:val="30"/>
          <w:szCs w:val="30"/>
        </w:rPr>
        <w:t>第二节  推</w:t>
      </w:r>
      <w:r>
        <w:rPr>
          <w:rStyle w:val="33"/>
          <w:rFonts w:ascii="仿宋" w:hAnsi="仿宋" w:eastAsia="仿宋"/>
          <w:color w:val="auto"/>
          <w:sz w:val="30"/>
          <w:szCs w:val="30"/>
        </w:rPr>
        <w:t>动产业循环发展，提高能源清洁化水平</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_Toc101253367 \h </w:instrText>
      </w:r>
      <w:r>
        <w:rPr>
          <w:rFonts w:ascii="仿宋" w:hAnsi="仿宋" w:eastAsia="仿宋"/>
          <w:sz w:val="30"/>
          <w:szCs w:val="30"/>
        </w:rPr>
        <w:fldChar w:fldCharType="separate"/>
      </w:r>
      <w:r>
        <w:rPr>
          <w:rFonts w:ascii="仿宋" w:hAnsi="仿宋" w:eastAsia="仿宋"/>
          <w:sz w:val="30"/>
          <w:szCs w:val="30"/>
        </w:rPr>
        <w:t>18</w:t>
      </w:r>
      <w:r>
        <w:rPr>
          <w:rFonts w:ascii="仿宋" w:hAnsi="仿宋" w:eastAsia="仿宋"/>
          <w:sz w:val="30"/>
          <w:szCs w:val="30"/>
        </w:rPr>
        <w:fldChar w:fldCharType="end"/>
      </w:r>
      <w:r>
        <w:rPr>
          <w:rFonts w:ascii="仿宋" w:hAnsi="仿宋" w:eastAsia="仿宋"/>
          <w:sz w:val="30"/>
          <w:szCs w:val="30"/>
        </w:rPr>
        <w:fldChar w:fldCharType="end"/>
      </w:r>
    </w:p>
    <w:p w14:paraId="27EF184D">
      <w:pPr>
        <w:pStyle w:val="22"/>
        <w:tabs>
          <w:tab w:val="right" w:leader="dot" w:pos="8296"/>
        </w:tabs>
        <w:rPr>
          <w:rFonts w:ascii="仿宋" w:hAnsi="仿宋" w:eastAsia="仿宋" w:cstheme="minorBidi"/>
          <w:sz w:val="30"/>
          <w:szCs w:val="30"/>
        </w:rPr>
      </w:pPr>
      <w:r>
        <w:fldChar w:fldCharType="begin"/>
      </w:r>
      <w:r>
        <w:instrText xml:space="preserve"> HYPERLINK \l "_Toc101253368" </w:instrText>
      </w:r>
      <w:r>
        <w:fldChar w:fldCharType="separate"/>
      </w:r>
      <w:r>
        <w:rPr>
          <w:rStyle w:val="33"/>
          <w:rFonts w:ascii="仿宋" w:hAnsi="仿宋" w:eastAsia="仿宋" w:cs="仿宋"/>
          <w:color w:val="auto"/>
          <w:sz w:val="30"/>
          <w:szCs w:val="30"/>
        </w:rPr>
        <w:t>第三节  建设绿色低碳城区，积极应对气候变化</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_Toc101253368 \h </w:instrText>
      </w:r>
      <w:r>
        <w:rPr>
          <w:rFonts w:ascii="仿宋" w:hAnsi="仿宋" w:eastAsia="仿宋"/>
          <w:sz w:val="30"/>
          <w:szCs w:val="30"/>
        </w:rPr>
        <w:fldChar w:fldCharType="separate"/>
      </w:r>
      <w:r>
        <w:rPr>
          <w:rFonts w:ascii="仿宋" w:hAnsi="仿宋" w:eastAsia="仿宋"/>
          <w:sz w:val="30"/>
          <w:szCs w:val="30"/>
        </w:rPr>
        <w:t>22</w:t>
      </w:r>
      <w:r>
        <w:rPr>
          <w:rFonts w:ascii="仿宋" w:hAnsi="仿宋" w:eastAsia="仿宋"/>
          <w:sz w:val="30"/>
          <w:szCs w:val="30"/>
        </w:rPr>
        <w:fldChar w:fldCharType="end"/>
      </w:r>
      <w:r>
        <w:rPr>
          <w:rFonts w:ascii="仿宋" w:hAnsi="仿宋" w:eastAsia="仿宋"/>
          <w:sz w:val="30"/>
          <w:szCs w:val="30"/>
        </w:rPr>
        <w:fldChar w:fldCharType="end"/>
      </w:r>
    </w:p>
    <w:p w14:paraId="1BA8D5D3">
      <w:pPr>
        <w:pStyle w:val="19"/>
        <w:tabs>
          <w:tab w:val="right" w:leader="dot" w:pos="8296"/>
        </w:tabs>
        <w:rPr>
          <w:rFonts w:ascii="仿宋" w:hAnsi="仿宋" w:eastAsia="仿宋" w:cstheme="minorBidi"/>
          <w:sz w:val="30"/>
          <w:szCs w:val="30"/>
        </w:rPr>
      </w:pPr>
      <w:r>
        <w:fldChar w:fldCharType="begin"/>
      </w:r>
      <w:r>
        <w:instrText xml:space="preserve"> HYPERLINK \l "_Toc101253369" </w:instrText>
      </w:r>
      <w:r>
        <w:fldChar w:fldCharType="separate"/>
      </w:r>
      <w:r>
        <w:rPr>
          <w:rStyle w:val="33"/>
          <w:rFonts w:ascii="仿宋" w:hAnsi="仿宋" w:eastAsia="仿宋" w:cs="仿宋"/>
          <w:color w:val="auto"/>
          <w:sz w:val="30"/>
          <w:szCs w:val="30"/>
        </w:rPr>
        <w:t>第四章  加强协同控制，强化大气污染防治</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_Toc101253369 \h </w:instrText>
      </w:r>
      <w:r>
        <w:rPr>
          <w:rFonts w:ascii="仿宋" w:hAnsi="仿宋" w:eastAsia="仿宋"/>
          <w:sz w:val="30"/>
          <w:szCs w:val="30"/>
        </w:rPr>
        <w:fldChar w:fldCharType="separate"/>
      </w:r>
      <w:r>
        <w:rPr>
          <w:rFonts w:ascii="仿宋" w:hAnsi="仿宋" w:eastAsia="仿宋"/>
          <w:sz w:val="30"/>
          <w:szCs w:val="30"/>
        </w:rPr>
        <w:t>26</w:t>
      </w:r>
      <w:r>
        <w:rPr>
          <w:rFonts w:ascii="仿宋" w:hAnsi="仿宋" w:eastAsia="仿宋"/>
          <w:sz w:val="30"/>
          <w:szCs w:val="30"/>
        </w:rPr>
        <w:fldChar w:fldCharType="end"/>
      </w:r>
      <w:r>
        <w:rPr>
          <w:rFonts w:ascii="仿宋" w:hAnsi="仿宋" w:eastAsia="仿宋"/>
          <w:sz w:val="30"/>
          <w:szCs w:val="30"/>
        </w:rPr>
        <w:fldChar w:fldCharType="end"/>
      </w:r>
    </w:p>
    <w:p w14:paraId="3321C58A">
      <w:pPr>
        <w:pStyle w:val="22"/>
        <w:tabs>
          <w:tab w:val="right" w:leader="dot" w:pos="8296"/>
        </w:tabs>
        <w:rPr>
          <w:rFonts w:ascii="仿宋" w:hAnsi="仿宋" w:eastAsia="仿宋" w:cstheme="minorBidi"/>
          <w:sz w:val="30"/>
          <w:szCs w:val="30"/>
        </w:rPr>
      </w:pPr>
      <w:r>
        <w:fldChar w:fldCharType="begin"/>
      </w:r>
      <w:r>
        <w:instrText xml:space="preserve"> HYPERLINK \l "_Toc101253370" </w:instrText>
      </w:r>
      <w:r>
        <w:fldChar w:fldCharType="separate"/>
      </w:r>
      <w:r>
        <w:rPr>
          <w:rStyle w:val="33"/>
          <w:rFonts w:ascii="仿宋" w:hAnsi="仿宋" w:eastAsia="仿宋" w:cs="仿宋"/>
          <w:color w:val="auto"/>
          <w:sz w:val="30"/>
          <w:szCs w:val="30"/>
        </w:rPr>
        <w:t>第一节  协同控制细颗粒物和臭氧</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_Toc101253370 \h </w:instrText>
      </w:r>
      <w:r>
        <w:rPr>
          <w:rFonts w:ascii="仿宋" w:hAnsi="仿宋" w:eastAsia="仿宋"/>
          <w:sz w:val="30"/>
          <w:szCs w:val="30"/>
        </w:rPr>
        <w:fldChar w:fldCharType="separate"/>
      </w:r>
      <w:r>
        <w:rPr>
          <w:rFonts w:ascii="仿宋" w:hAnsi="仿宋" w:eastAsia="仿宋"/>
          <w:sz w:val="30"/>
          <w:szCs w:val="30"/>
        </w:rPr>
        <w:t>26</w:t>
      </w:r>
      <w:r>
        <w:rPr>
          <w:rFonts w:ascii="仿宋" w:hAnsi="仿宋" w:eastAsia="仿宋"/>
          <w:sz w:val="30"/>
          <w:szCs w:val="30"/>
        </w:rPr>
        <w:fldChar w:fldCharType="end"/>
      </w:r>
      <w:r>
        <w:rPr>
          <w:rFonts w:ascii="仿宋" w:hAnsi="仿宋" w:eastAsia="仿宋"/>
          <w:sz w:val="30"/>
          <w:szCs w:val="30"/>
        </w:rPr>
        <w:fldChar w:fldCharType="end"/>
      </w:r>
    </w:p>
    <w:p w14:paraId="29C3F4D4">
      <w:pPr>
        <w:pStyle w:val="22"/>
        <w:tabs>
          <w:tab w:val="right" w:leader="dot" w:pos="8296"/>
        </w:tabs>
        <w:rPr>
          <w:rFonts w:ascii="仿宋" w:hAnsi="仿宋" w:eastAsia="仿宋" w:cstheme="minorBidi"/>
          <w:sz w:val="30"/>
          <w:szCs w:val="30"/>
        </w:rPr>
      </w:pPr>
      <w:r>
        <w:fldChar w:fldCharType="begin"/>
      </w:r>
      <w:r>
        <w:instrText xml:space="preserve"> HYPERLINK \l "_Toc101253371" </w:instrText>
      </w:r>
      <w:r>
        <w:fldChar w:fldCharType="separate"/>
      </w:r>
      <w:r>
        <w:rPr>
          <w:rStyle w:val="33"/>
          <w:rFonts w:ascii="仿宋" w:hAnsi="仿宋" w:eastAsia="仿宋" w:cs="仿宋"/>
          <w:color w:val="auto"/>
          <w:sz w:val="30"/>
          <w:szCs w:val="30"/>
        </w:rPr>
        <w:t>第二节  开展多污染物协同减排</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_Toc101253371 \h </w:instrText>
      </w:r>
      <w:r>
        <w:rPr>
          <w:rFonts w:ascii="仿宋" w:hAnsi="仿宋" w:eastAsia="仿宋"/>
          <w:sz w:val="30"/>
          <w:szCs w:val="30"/>
        </w:rPr>
        <w:fldChar w:fldCharType="separate"/>
      </w:r>
      <w:r>
        <w:rPr>
          <w:rFonts w:ascii="仿宋" w:hAnsi="仿宋" w:eastAsia="仿宋"/>
          <w:sz w:val="30"/>
          <w:szCs w:val="30"/>
        </w:rPr>
        <w:t>26</w:t>
      </w:r>
      <w:r>
        <w:rPr>
          <w:rFonts w:ascii="仿宋" w:hAnsi="仿宋" w:eastAsia="仿宋"/>
          <w:sz w:val="30"/>
          <w:szCs w:val="30"/>
        </w:rPr>
        <w:fldChar w:fldCharType="end"/>
      </w:r>
      <w:r>
        <w:rPr>
          <w:rFonts w:ascii="仿宋" w:hAnsi="仿宋" w:eastAsia="仿宋"/>
          <w:sz w:val="30"/>
          <w:szCs w:val="30"/>
        </w:rPr>
        <w:fldChar w:fldCharType="end"/>
      </w:r>
    </w:p>
    <w:p w14:paraId="30D239B5">
      <w:pPr>
        <w:pStyle w:val="22"/>
        <w:tabs>
          <w:tab w:val="right" w:leader="dot" w:pos="8296"/>
        </w:tabs>
        <w:rPr>
          <w:rFonts w:ascii="仿宋" w:hAnsi="仿宋" w:eastAsia="仿宋" w:cstheme="minorBidi"/>
          <w:sz w:val="30"/>
          <w:szCs w:val="30"/>
        </w:rPr>
      </w:pPr>
      <w:r>
        <w:fldChar w:fldCharType="begin"/>
      </w:r>
      <w:r>
        <w:instrText xml:space="preserve"> HYPERLINK \l "_Toc101253372" </w:instrText>
      </w:r>
      <w:r>
        <w:fldChar w:fldCharType="separate"/>
      </w:r>
      <w:r>
        <w:rPr>
          <w:rStyle w:val="33"/>
          <w:rFonts w:ascii="仿宋" w:hAnsi="仿宋" w:eastAsia="仿宋" w:cs="仿宋"/>
          <w:color w:val="auto"/>
          <w:sz w:val="30"/>
          <w:szCs w:val="30"/>
        </w:rPr>
        <w:t>第三节  推进大气污染专项治理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_Toc101253372 \h </w:instrText>
      </w:r>
      <w:r>
        <w:rPr>
          <w:rFonts w:ascii="仿宋" w:hAnsi="仿宋" w:eastAsia="仿宋"/>
          <w:sz w:val="30"/>
          <w:szCs w:val="30"/>
        </w:rPr>
        <w:fldChar w:fldCharType="separate"/>
      </w:r>
      <w:r>
        <w:rPr>
          <w:rFonts w:ascii="仿宋" w:hAnsi="仿宋" w:eastAsia="仿宋"/>
          <w:sz w:val="30"/>
          <w:szCs w:val="30"/>
        </w:rPr>
        <w:t>27</w:t>
      </w:r>
      <w:r>
        <w:rPr>
          <w:rFonts w:ascii="仿宋" w:hAnsi="仿宋" w:eastAsia="仿宋"/>
          <w:sz w:val="30"/>
          <w:szCs w:val="30"/>
        </w:rPr>
        <w:fldChar w:fldCharType="end"/>
      </w:r>
      <w:r>
        <w:rPr>
          <w:rFonts w:ascii="仿宋" w:hAnsi="仿宋" w:eastAsia="仿宋"/>
          <w:sz w:val="30"/>
          <w:szCs w:val="30"/>
        </w:rPr>
        <w:fldChar w:fldCharType="end"/>
      </w:r>
    </w:p>
    <w:p w14:paraId="7C1D52A4">
      <w:pPr>
        <w:pStyle w:val="22"/>
        <w:tabs>
          <w:tab w:val="right" w:leader="dot" w:pos="8296"/>
        </w:tabs>
        <w:rPr>
          <w:rFonts w:ascii="仿宋" w:hAnsi="仿宋" w:eastAsia="仿宋" w:cstheme="minorBidi"/>
          <w:sz w:val="30"/>
          <w:szCs w:val="30"/>
        </w:rPr>
      </w:pPr>
      <w:r>
        <w:fldChar w:fldCharType="begin"/>
      </w:r>
      <w:r>
        <w:instrText xml:space="preserve"> HYPERLINK \l "_Toc101253373" </w:instrText>
      </w:r>
      <w:r>
        <w:fldChar w:fldCharType="separate"/>
      </w:r>
      <w:r>
        <w:rPr>
          <w:rStyle w:val="33"/>
          <w:rFonts w:ascii="仿宋" w:hAnsi="仿宋" w:eastAsia="仿宋" w:cs="仿宋"/>
          <w:color w:val="auto"/>
          <w:sz w:val="30"/>
          <w:szCs w:val="30"/>
        </w:rPr>
        <w:t>第四节  全面管控面源污染</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_Toc101253373 \h </w:instrText>
      </w:r>
      <w:r>
        <w:rPr>
          <w:rFonts w:ascii="仿宋" w:hAnsi="仿宋" w:eastAsia="仿宋"/>
          <w:sz w:val="30"/>
          <w:szCs w:val="30"/>
        </w:rPr>
        <w:fldChar w:fldCharType="separate"/>
      </w:r>
      <w:r>
        <w:rPr>
          <w:rFonts w:ascii="仿宋" w:hAnsi="仿宋" w:eastAsia="仿宋"/>
          <w:sz w:val="30"/>
          <w:szCs w:val="30"/>
        </w:rPr>
        <w:t>29</w:t>
      </w:r>
      <w:r>
        <w:rPr>
          <w:rFonts w:ascii="仿宋" w:hAnsi="仿宋" w:eastAsia="仿宋"/>
          <w:sz w:val="30"/>
          <w:szCs w:val="30"/>
        </w:rPr>
        <w:fldChar w:fldCharType="end"/>
      </w:r>
      <w:r>
        <w:rPr>
          <w:rFonts w:ascii="仿宋" w:hAnsi="仿宋" w:eastAsia="仿宋"/>
          <w:sz w:val="30"/>
          <w:szCs w:val="30"/>
        </w:rPr>
        <w:fldChar w:fldCharType="end"/>
      </w:r>
    </w:p>
    <w:p w14:paraId="05B99CCF">
      <w:pPr>
        <w:pStyle w:val="22"/>
        <w:tabs>
          <w:tab w:val="right" w:leader="dot" w:pos="8296"/>
        </w:tabs>
        <w:rPr>
          <w:rFonts w:ascii="仿宋" w:hAnsi="仿宋" w:eastAsia="仿宋" w:cstheme="minorBidi"/>
          <w:sz w:val="30"/>
          <w:szCs w:val="30"/>
        </w:rPr>
      </w:pPr>
      <w:r>
        <w:fldChar w:fldCharType="begin"/>
      </w:r>
      <w:r>
        <w:instrText xml:space="preserve"> HYPERLINK \l "_Toc101253374" </w:instrText>
      </w:r>
      <w:r>
        <w:fldChar w:fldCharType="separate"/>
      </w:r>
      <w:r>
        <w:rPr>
          <w:rStyle w:val="33"/>
          <w:rFonts w:ascii="仿宋" w:hAnsi="仿宋" w:eastAsia="仿宋" w:cs="仿宋"/>
          <w:color w:val="auto"/>
          <w:sz w:val="30"/>
          <w:szCs w:val="30"/>
        </w:rPr>
        <w:t>第五节  积极应对重污染天气</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_Toc101253374 \h </w:instrText>
      </w:r>
      <w:r>
        <w:rPr>
          <w:rFonts w:ascii="仿宋" w:hAnsi="仿宋" w:eastAsia="仿宋"/>
          <w:sz w:val="30"/>
          <w:szCs w:val="30"/>
        </w:rPr>
        <w:fldChar w:fldCharType="separate"/>
      </w:r>
      <w:r>
        <w:rPr>
          <w:rFonts w:ascii="仿宋" w:hAnsi="仿宋" w:eastAsia="仿宋"/>
          <w:sz w:val="30"/>
          <w:szCs w:val="30"/>
        </w:rPr>
        <w:t>30</w:t>
      </w:r>
      <w:r>
        <w:rPr>
          <w:rFonts w:ascii="仿宋" w:hAnsi="仿宋" w:eastAsia="仿宋"/>
          <w:sz w:val="30"/>
          <w:szCs w:val="30"/>
        </w:rPr>
        <w:fldChar w:fldCharType="end"/>
      </w:r>
      <w:r>
        <w:rPr>
          <w:rFonts w:ascii="仿宋" w:hAnsi="仿宋" w:eastAsia="仿宋"/>
          <w:sz w:val="30"/>
          <w:szCs w:val="30"/>
        </w:rPr>
        <w:fldChar w:fldCharType="end"/>
      </w:r>
    </w:p>
    <w:p w14:paraId="5E17824C">
      <w:pPr>
        <w:pStyle w:val="22"/>
        <w:tabs>
          <w:tab w:val="right" w:leader="dot" w:pos="8296"/>
        </w:tabs>
        <w:rPr>
          <w:rFonts w:ascii="仿宋" w:hAnsi="仿宋" w:eastAsia="仿宋" w:cstheme="minorBidi"/>
          <w:sz w:val="30"/>
          <w:szCs w:val="30"/>
        </w:rPr>
      </w:pPr>
      <w:r>
        <w:fldChar w:fldCharType="begin"/>
      </w:r>
      <w:r>
        <w:instrText xml:space="preserve"> HYPERLINK \l "_Toc101253375" </w:instrText>
      </w:r>
      <w:r>
        <w:fldChar w:fldCharType="separate"/>
      </w:r>
      <w:r>
        <w:rPr>
          <w:rStyle w:val="33"/>
          <w:rFonts w:ascii="仿宋" w:hAnsi="仿宋" w:eastAsia="仿宋" w:cs="仿宋"/>
          <w:color w:val="auto"/>
          <w:sz w:val="30"/>
          <w:szCs w:val="30"/>
        </w:rPr>
        <w:t>第六节  加强噪声污染防治</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_Toc101253375 \h </w:instrText>
      </w:r>
      <w:r>
        <w:rPr>
          <w:rFonts w:ascii="仿宋" w:hAnsi="仿宋" w:eastAsia="仿宋"/>
          <w:sz w:val="30"/>
          <w:szCs w:val="30"/>
        </w:rPr>
        <w:fldChar w:fldCharType="separate"/>
      </w:r>
      <w:r>
        <w:rPr>
          <w:rFonts w:ascii="仿宋" w:hAnsi="仿宋" w:eastAsia="仿宋"/>
          <w:sz w:val="30"/>
          <w:szCs w:val="30"/>
        </w:rPr>
        <w:t>30</w:t>
      </w:r>
      <w:r>
        <w:rPr>
          <w:rFonts w:ascii="仿宋" w:hAnsi="仿宋" w:eastAsia="仿宋"/>
          <w:sz w:val="30"/>
          <w:szCs w:val="30"/>
        </w:rPr>
        <w:fldChar w:fldCharType="end"/>
      </w:r>
      <w:r>
        <w:rPr>
          <w:rFonts w:ascii="仿宋" w:hAnsi="仿宋" w:eastAsia="仿宋"/>
          <w:sz w:val="30"/>
          <w:szCs w:val="30"/>
        </w:rPr>
        <w:fldChar w:fldCharType="end"/>
      </w:r>
    </w:p>
    <w:p w14:paraId="4F1290FF">
      <w:pPr>
        <w:pStyle w:val="19"/>
        <w:tabs>
          <w:tab w:val="right" w:leader="dot" w:pos="8296"/>
        </w:tabs>
        <w:rPr>
          <w:rFonts w:ascii="仿宋" w:hAnsi="仿宋" w:eastAsia="仿宋" w:cstheme="minorBidi"/>
          <w:sz w:val="30"/>
          <w:szCs w:val="30"/>
        </w:rPr>
      </w:pPr>
      <w:r>
        <w:fldChar w:fldCharType="begin"/>
      </w:r>
      <w:r>
        <w:instrText xml:space="preserve"> HYPERLINK \l "_Toc101253376" </w:instrText>
      </w:r>
      <w:r>
        <w:fldChar w:fldCharType="separate"/>
      </w:r>
      <w:r>
        <w:rPr>
          <w:rStyle w:val="33"/>
          <w:rFonts w:ascii="仿宋" w:hAnsi="仿宋" w:eastAsia="仿宋" w:cs="仿宋"/>
          <w:color w:val="auto"/>
          <w:sz w:val="30"/>
          <w:szCs w:val="30"/>
        </w:rPr>
        <w:t>第五章  深化三水统筹，提升水生态环境质量</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_Toc101253376 \h </w:instrText>
      </w:r>
      <w:r>
        <w:rPr>
          <w:rFonts w:ascii="仿宋" w:hAnsi="仿宋" w:eastAsia="仿宋"/>
          <w:sz w:val="30"/>
          <w:szCs w:val="30"/>
        </w:rPr>
        <w:fldChar w:fldCharType="separate"/>
      </w:r>
      <w:r>
        <w:rPr>
          <w:rFonts w:ascii="仿宋" w:hAnsi="仿宋" w:eastAsia="仿宋"/>
          <w:sz w:val="30"/>
          <w:szCs w:val="30"/>
        </w:rPr>
        <w:t>32</w:t>
      </w:r>
      <w:r>
        <w:rPr>
          <w:rFonts w:ascii="仿宋" w:hAnsi="仿宋" w:eastAsia="仿宋"/>
          <w:sz w:val="30"/>
          <w:szCs w:val="30"/>
        </w:rPr>
        <w:fldChar w:fldCharType="end"/>
      </w:r>
      <w:r>
        <w:rPr>
          <w:rFonts w:ascii="仿宋" w:hAnsi="仿宋" w:eastAsia="仿宋"/>
          <w:sz w:val="30"/>
          <w:szCs w:val="30"/>
        </w:rPr>
        <w:fldChar w:fldCharType="end"/>
      </w:r>
    </w:p>
    <w:p w14:paraId="18273EF4">
      <w:pPr>
        <w:pStyle w:val="22"/>
        <w:tabs>
          <w:tab w:val="right" w:leader="dot" w:pos="8296"/>
        </w:tabs>
        <w:rPr>
          <w:rFonts w:ascii="仿宋" w:hAnsi="仿宋" w:eastAsia="仿宋" w:cstheme="minorBidi"/>
          <w:sz w:val="30"/>
          <w:szCs w:val="30"/>
        </w:rPr>
      </w:pPr>
      <w:r>
        <w:fldChar w:fldCharType="begin"/>
      </w:r>
      <w:r>
        <w:instrText xml:space="preserve"> HYPERLINK \l "_Toc101253377" </w:instrText>
      </w:r>
      <w:r>
        <w:fldChar w:fldCharType="separate"/>
      </w:r>
      <w:r>
        <w:rPr>
          <w:rStyle w:val="33"/>
          <w:rFonts w:ascii="仿宋" w:hAnsi="仿宋" w:eastAsia="仿宋" w:cs="仿宋"/>
          <w:color w:val="auto"/>
          <w:sz w:val="30"/>
          <w:szCs w:val="30"/>
        </w:rPr>
        <w:t>第一节  巩固提升城市水环境</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_Toc101253377 \h </w:instrText>
      </w:r>
      <w:r>
        <w:rPr>
          <w:rFonts w:ascii="仿宋" w:hAnsi="仿宋" w:eastAsia="仿宋"/>
          <w:sz w:val="30"/>
          <w:szCs w:val="30"/>
        </w:rPr>
        <w:fldChar w:fldCharType="separate"/>
      </w:r>
      <w:r>
        <w:rPr>
          <w:rFonts w:ascii="仿宋" w:hAnsi="仿宋" w:eastAsia="仿宋"/>
          <w:sz w:val="30"/>
          <w:szCs w:val="30"/>
        </w:rPr>
        <w:t>32</w:t>
      </w:r>
      <w:r>
        <w:rPr>
          <w:rFonts w:ascii="仿宋" w:hAnsi="仿宋" w:eastAsia="仿宋"/>
          <w:sz w:val="30"/>
          <w:szCs w:val="30"/>
        </w:rPr>
        <w:fldChar w:fldCharType="end"/>
      </w:r>
      <w:r>
        <w:rPr>
          <w:rFonts w:ascii="仿宋" w:hAnsi="仿宋" w:eastAsia="仿宋"/>
          <w:sz w:val="30"/>
          <w:szCs w:val="30"/>
        </w:rPr>
        <w:fldChar w:fldCharType="end"/>
      </w:r>
    </w:p>
    <w:p w14:paraId="25FA9EAB">
      <w:pPr>
        <w:pStyle w:val="22"/>
        <w:tabs>
          <w:tab w:val="right" w:leader="dot" w:pos="8296"/>
        </w:tabs>
        <w:rPr>
          <w:rFonts w:ascii="仿宋" w:hAnsi="仿宋" w:eastAsia="仿宋" w:cstheme="minorBidi"/>
          <w:sz w:val="30"/>
          <w:szCs w:val="30"/>
        </w:rPr>
      </w:pPr>
      <w:r>
        <w:fldChar w:fldCharType="begin"/>
      </w:r>
      <w:r>
        <w:instrText xml:space="preserve"> HYPERLINK \l "_Toc101253378" </w:instrText>
      </w:r>
      <w:r>
        <w:fldChar w:fldCharType="separate"/>
      </w:r>
      <w:r>
        <w:rPr>
          <w:rStyle w:val="33"/>
          <w:rFonts w:ascii="仿宋" w:hAnsi="仿宋" w:eastAsia="仿宋" w:cs="仿宋"/>
          <w:color w:val="auto"/>
          <w:sz w:val="30"/>
          <w:szCs w:val="30"/>
        </w:rPr>
        <w:t>第二节  深入推进水污染治理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_Toc101253378 \h </w:instrText>
      </w:r>
      <w:r>
        <w:rPr>
          <w:rFonts w:ascii="仿宋" w:hAnsi="仿宋" w:eastAsia="仿宋"/>
          <w:sz w:val="30"/>
          <w:szCs w:val="30"/>
        </w:rPr>
        <w:fldChar w:fldCharType="separate"/>
      </w:r>
      <w:r>
        <w:rPr>
          <w:rFonts w:ascii="仿宋" w:hAnsi="仿宋" w:eastAsia="仿宋"/>
          <w:sz w:val="30"/>
          <w:szCs w:val="30"/>
        </w:rPr>
        <w:t>33</w:t>
      </w:r>
      <w:r>
        <w:rPr>
          <w:rFonts w:ascii="仿宋" w:hAnsi="仿宋" w:eastAsia="仿宋"/>
          <w:sz w:val="30"/>
          <w:szCs w:val="30"/>
        </w:rPr>
        <w:fldChar w:fldCharType="end"/>
      </w:r>
      <w:r>
        <w:rPr>
          <w:rFonts w:ascii="仿宋" w:hAnsi="仿宋" w:eastAsia="仿宋"/>
          <w:sz w:val="30"/>
          <w:szCs w:val="30"/>
        </w:rPr>
        <w:fldChar w:fldCharType="end"/>
      </w:r>
    </w:p>
    <w:p w14:paraId="46BF76CF">
      <w:pPr>
        <w:pStyle w:val="22"/>
        <w:tabs>
          <w:tab w:val="right" w:leader="dot" w:pos="8296"/>
        </w:tabs>
        <w:rPr>
          <w:rFonts w:ascii="仿宋" w:hAnsi="仿宋" w:eastAsia="仿宋" w:cstheme="minorBidi"/>
          <w:sz w:val="30"/>
          <w:szCs w:val="30"/>
        </w:rPr>
      </w:pPr>
      <w:r>
        <w:fldChar w:fldCharType="begin"/>
      </w:r>
      <w:r>
        <w:instrText xml:space="preserve"> HYPERLINK \l "_Toc101253379" </w:instrText>
      </w:r>
      <w:r>
        <w:fldChar w:fldCharType="separate"/>
      </w:r>
      <w:r>
        <w:rPr>
          <w:rStyle w:val="33"/>
          <w:rFonts w:ascii="仿宋" w:hAnsi="仿宋" w:eastAsia="仿宋" w:cs="仿宋"/>
          <w:color w:val="auto"/>
          <w:sz w:val="30"/>
          <w:szCs w:val="30"/>
        </w:rPr>
        <w:t>第三节  深化工业集聚区管理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_Toc101253379 \h </w:instrText>
      </w:r>
      <w:r>
        <w:rPr>
          <w:rFonts w:ascii="仿宋" w:hAnsi="仿宋" w:eastAsia="仿宋"/>
          <w:sz w:val="30"/>
          <w:szCs w:val="30"/>
        </w:rPr>
        <w:fldChar w:fldCharType="separate"/>
      </w:r>
      <w:r>
        <w:rPr>
          <w:rFonts w:ascii="仿宋" w:hAnsi="仿宋" w:eastAsia="仿宋"/>
          <w:sz w:val="30"/>
          <w:szCs w:val="30"/>
        </w:rPr>
        <w:t>34</w:t>
      </w:r>
      <w:r>
        <w:rPr>
          <w:rFonts w:ascii="仿宋" w:hAnsi="仿宋" w:eastAsia="仿宋"/>
          <w:sz w:val="30"/>
          <w:szCs w:val="30"/>
        </w:rPr>
        <w:fldChar w:fldCharType="end"/>
      </w:r>
      <w:r>
        <w:rPr>
          <w:rFonts w:ascii="仿宋" w:hAnsi="仿宋" w:eastAsia="仿宋"/>
          <w:sz w:val="30"/>
          <w:szCs w:val="30"/>
        </w:rPr>
        <w:fldChar w:fldCharType="end"/>
      </w:r>
    </w:p>
    <w:p w14:paraId="4BCBA04E">
      <w:pPr>
        <w:pStyle w:val="22"/>
        <w:tabs>
          <w:tab w:val="right" w:leader="dot" w:pos="8296"/>
        </w:tabs>
        <w:rPr>
          <w:rFonts w:ascii="仿宋" w:hAnsi="仿宋" w:eastAsia="仿宋" w:cstheme="minorBidi"/>
          <w:sz w:val="30"/>
          <w:szCs w:val="30"/>
        </w:rPr>
      </w:pPr>
      <w:r>
        <w:fldChar w:fldCharType="begin"/>
      </w:r>
      <w:r>
        <w:instrText xml:space="preserve"> HYPERLINK \l "_Toc101253380" </w:instrText>
      </w:r>
      <w:r>
        <w:fldChar w:fldCharType="separate"/>
      </w:r>
      <w:r>
        <w:rPr>
          <w:rStyle w:val="33"/>
          <w:rFonts w:ascii="仿宋" w:hAnsi="仿宋" w:eastAsia="仿宋" w:cs="仿宋"/>
          <w:color w:val="auto"/>
          <w:sz w:val="30"/>
          <w:szCs w:val="30"/>
        </w:rPr>
        <w:t>第四节  提升水资源利用水平</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_Toc101253380 \h </w:instrText>
      </w:r>
      <w:r>
        <w:rPr>
          <w:rFonts w:ascii="仿宋" w:hAnsi="仿宋" w:eastAsia="仿宋"/>
          <w:sz w:val="30"/>
          <w:szCs w:val="30"/>
        </w:rPr>
        <w:fldChar w:fldCharType="separate"/>
      </w:r>
      <w:r>
        <w:rPr>
          <w:rFonts w:ascii="仿宋" w:hAnsi="仿宋" w:eastAsia="仿宋"/>
          <w:sz w:val="30"/>
          <w:szCs w:val="30"/>
        </w:rPr>
        <w:t>35</w:t>
      </w:r>
      <w:r>
        <w:rPr>
          <w:rFonts w:ascii="仿宋" w:hAnsi="仿宋" w:eastAsia="仿宋"/>
          <w:sz w:val="30"/>
          <w:szCs w:val="30"/>
        </w:rPr>
        <w:fldChar w:fldCharType="end"/>
      </w:r>
      <w:r>
        <w:rPr>
          <w:rFonts w:ascii="仿宋" w:hAnsi="仿宋" w:eastAsia="仿宋"/>
          <w:sz w:val="30"/>
          <w:szCs w:val="30"/>
        </w:rPr>
        <w:fldChar w:fldCharType="end"/>
      </w:r>
    </w:p>
    <w:p w14:paraId="49456D82">
      <w:pPr>
        <w:pStyle w:val="19"/>
        <w:tabs>
          <w:tab w:val="right" w:leader="dot" w:pos="8296"/>
        </w:tabs>
        <w:rPr>
          <w:rFonts w:ascii="仿宋" w:hAnsi="仿宋" w:eastAsia="仿宋" w:cstheme="minorBidi"/>
          <w:sz w:val="30"/>
          <w:szCs w:val="30"/>
        </w:rPr>
      </w:pPr>
      <w:r>
        <w:fldChar w:fldCharType="begin"/>
      </w:r>
      <w:r>
        <w:instrText xml:space="preserve"> HYPERLINK \l "_Toc101253381" </w:instrText>
      </w:r>
      <w:r>
        <w:fldChar w:fldCharType="separate"/>
      </w:r>
      <w:r>
        <w:rPr>
          <w:rStyle w:val="33"/>
          <w:rFonts w:ascii="仿宋" w:hAnsi="仿宋" w:eastAsia="仿宋" w:cs="仿宋"/>
          <w:color w:val="auto"/>
          <w:sz w:val="30"/>
          <w:szCs w:val="30"/>
        </w:rPr>
        <w:t>第六章  推进系统防治，加强土壤环境保护</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_Toc101253381 \h </w:instrText>
      </w:r>
      <w:r>
        <w:rPr>
          <w:rFonts w:ascii="仿宋" w:hAnsi="仿宋" w:eastAsia="仿宋"/>
          <w:sz w:val="30"/>
          <w:szCs w:val="30"/>
        </w:rPr>
        <w:fldChar w:fldCharType="separate"/>
      </w:r>
      <w:r>
        <w:rPr>
          <w:rFonts w:ascii="仿宋" w:hAnsi="仿宋" w:eastAsia="仿宋"/>
          <w:sz w:val="30"/>
          <w:szCs w:val="30"/>
        </w:rPr>
        <w:t>37</w:t>
      </w:r>
      <w:r>
        <w:rPr>
          <w:rFonts w:ascii="仿宋" w:hAnsi="仿宋" w:eastAsia="仿宋"/>
          <w:sz w:val="30"/>
          <w:szCs w:val="30"/>
        </w:rPr>
        <w:fldChar w:fldCharType="end"/>
      </w:r>
      <w:r>
        <w:rPr>
          <w:rFonts w:ascii="仿宋" w:hAnsi="仿宋" w:eastAsia="仿宋"/>
          <w:sz w:val="30"/>
          <w:szCs w:val="30"/>
        </w:rPr>
        <w:fldChar w:fldCharType="end"/>
      </w:r>
    </w:p>
    <w:p w14:paraId="5B10C745">
      <w:pPr>
        <w:pStyle w:val="22"/>
        <w:tabs>
          <w:tab w:val="right" w:leader="dot" w:pos="8296"/>
        </w:tabs>
        <w:rPr>
          <w:rFonts w:ascii="仿宋" w:hAnsi="仿宋" w:eastAsia="仿宋" w:cstheme="minorBidi"/>
          <w:sz w:val="30"/>
          <w:szCs w:val="30"/>
        </w:rPr>
      </w:pPr>
      <w:r>
        <w:fldChar w:fldCharType="begin"/>
      </w:r>
      <w:r>
        <w:instrText xml:space="preserve"> HYPERLINK \l "_Toc101253382" </w:instrText>
      </w:r>
      <w:r>
        <w:fldChar w:fldCharType="separate"/>
      </w:r>
      <w:r>
        <w:rPr>
          <w:rStyle w:val="33"/>
          <w:rFonts w:ascii="仿宋" w:hAnsi="仿宋" w:eastAsia="仿宋" w:cs="仿宋"/>
          <w:color w:val="auto"/>
          <w:sz w:val="30"/>
          <w:szCs w:val="30"/>
        </w:rPr>
        <w:t>第一节  深化土壤污染状况调查</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_Toc101253382 \h </w:instrText>
      </w:r>
      <w:r>
        <w:rPr>
          <w:rFonts w:ascii="仿宋" w:hAnsi="仿宋" w:eastAsia="仿宋"/>
          <w:sz w:val="30"/>
          <w:szCs w:val="30"/>
        </w:rPr>
        <w:fldChar w:fldCharType="separate"/>
      </w:r>
      <w:r>
        <w:rPr>
          <w:rFonts w:ascii="仿宋" w:hAnsi="仿宋" w:eastAsia="仿宋"/>
          <w:sz w:val="30"/>
          <w:szCs w:val="30"/>
        </w:rPr>
        <w:t>37</w:t>
      </w:r>
      <w:r>
        <w:rPr>
          <w:rFonts w:ascii="仿宋" w:hAnsi="仿宋" w:eastAsia="仿宋"/>
          <w:sz w:val="30"/>
          <w:szCs w:val="30"/>
        </w:rPr>
        <w:fldChar w:fldCharType="end"/>
      </w:r>
      <w:r>
        <w:rPr>
          <w:rFonts w:ascii="仿宋" w:hAnsi="仿宋" w:eastAsia="仿宋"/>
          <w:sz w:val="30"/>
          <w:szCs w:val="30"/>
        </w:rPr>
        <w:fldChar w:fldCharType="end"/>
      </w:r>
    </w:p>
    <w:p w14:paraId="772E9BC6">
      <w:pPr>
        <w:pStyle w:val="22"/>
        <w:tabs>
          <w:tab w:val="right" w:leader="dot" w:pos="8296"/>
        </w:tabs>
        <w:rPr>
          <w:rFonts w:ascii="仿宋" w:hAnsi="仿宋" w:eastAsia="仿宋" w:cstheme="minorBidi"/>
          <w:sz w:val="30"/>
          <w:szCs w:val="30"/>
        </w:rPr>
      </w:pPr>
      <w:r>
        <w:fldChar w:fldCharType="begin"/>
      </w:r>
      <w:r>
        <w:instrText xml:space="preserve"> HYPERLINK \l "_Toc101253383" </w:instrText>
      </w:r>
      <w:r>
        <w:fldChar w:fldCharType="separate"/>
      </w:r>
      <w:r>
        <w:rPr>
          <w:rStyle w:val="33"/>
          <w:rFonts w:ascii="仿宋" w:hAnsi="仿宋" w:eastAsia="仿宋" w:cs="仿宋"/>
          <w:color w:val="auto"/>
          <w:sz w:val="30"/>
          <w:szCs w:val="30"/>
        </w:rPr>
        <w:t>第二节  实施建设用地准入管理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_Toc101253383 \h </w:instrText>
      </w:r>
      <w:r>
        <w:rPr>
          <w:rFonts w:ascii="仿宋" w:hAnsi="仿宋" w:eastAsia="仿宋"/>
          <w:sz w:val="30"/>
          <w:szCs w:val="30"/>
        </w:rPr>
        <w:fldChar w:fldCharType="separate"/>
      </w:r>
      <w:r>
        <w:rPr>
          <w:rFonts w:ascii="仿宋" w:hAnsi="仿宋" w:eastAsia="仿宋"/>
          <w:sz w:val="30"/>
          <w:szCs w:val="30"/>
        </w:rPr>
        <w:t>37</w:t>
      </w:r>
      <w:r>
        <w:rPr>
          <w:rFonts w:ascii="仿宋" w:hAnsi="仿宋" w:eastAsia="仿宋"/>
          <w:sz w:val="30"/>
          <w:szCs w:val="30"/>
        </w:rPr>
        <w:fldChar w:fldCharType="end"/>
      </w:r>
      <w:r>
        <w:rPr>
          <w:rFonts w:ascii="仿宋" w:hAnsi="仿宋" w:eastAsia="仿宋"/>
          <w:sz w:val="30"/>
          <w:szCs w:val="30"/>
        </w:rPr>
        <w:fldChar w:fldCharType="end"/>
      </w:r>
    </w:p>
    <w:p w14:paraId="18540249">
      <w:pPr>
        <w:pStyle w:val="22"/>
        <w:tabs>
          <w:tab w:val="right" w:leader="dot" w:pos="8296"/>
        </w:tabs>
        <w:rPr>
          <w:rFonts w:ascii="仿宋" w:hAnsi="仿宋" w:eastAsia="仿宋" w:cstheme="minorBidi"/>
          <w:sz w:val="30"/>
          <w:szCs w:val="30"/>
        </w:rPr>
      </w:pPr>
      <w:r>
        <w:fldChar w:fldCharType="begin"/>
      </w:r>
      <w:r>
        <w:instrText xml:space="preserve"> HYPERLINK \l "_Toc101253384" </w:instrText>
      </w:r>
      <w:r>
        <w:fldChar w:fldCharType="separate"/>
      </w:r>
      <w:r>
        <w:rPr>
          <w:rStyle w:val="33"/>
          <w:rFonts w:ascii="仿宋" w:hAnsi="仿宋" w:eastAsia="仿宋" w:cs="仿宋"/>
          <w:color w:val="auto"/>
          <w:sz w:val="30"/>
          <w:szCs w:val="30"/>
        </w:rPr>
        <w:t>第三节  加强土壤污染源头管控</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_Toc101253384 \h </w:instrText>
      </w:r>
      <w:r>
        <w:rPr>
          <w:rFonts w:ascii="仿宋" w:hAnsi="仿宋" w:eastAsia="仿宋"/>
          <w:sz w:val="30"/>
          <w:szCs w:val="30"/>
        </w:rPr>
        <w:fldChar w:fldCharType="separate"/>
      </w:r>
      <w:r>
        <w:rPr>
          <w:rFonts w:ascii="仿宋" w:hAnsi="仿宋" w:eastAsia="仿宋"/>
          <w:sz w:val="30"/>
          <w:szCs w:val="30"/>
        </w:rPr>
        <w:t>38</w:t>
      </w:r>
      <w:r>
        <w:rPr>
          <w:rFonts w:ascii="仿宋" w:hAnsi="仿宋" w:eastAsia="仿宋"/>
          <w:sz w:val="30"/>
          <w:szCs w:val="30"/>
        </w:rPr>
        <w:fldChar w:fldCharType="end"/>
      </w:r>
      <w:r>
        <w:rPr>
          <w:rFonts w:ascii="仿宋" w:hAnsi="仿宋" w:eastAsia="仿宋"/>
          <w:sz w:val="30"/>
          <w:szCs w:val="30"/>
        </w:rPr>
        <w:fldChar w:fldCharType="end"/>
      </w:r>
    </w:p>
    <w:p w14:paraId="46CD8BE0">
      <w:pPr>
        <w:pStyle w:val="22"/>
        <w:tabs>
          <w:tab w:val="right" w:leader="dot" w:pos="8296"/>
        </w:tabs>
        <w:rPr>
          <w:rFonts w:ascii="仿宋" w:hAnsi="仿宋" w:eastAsia="仿宋" w:cstheme="minorBidi"/>
          <w:sz w:val="30"/>
          <w:szCs w:val="30"/>
        </w:rPr>
      </w:pPr>
      <w:r>
        <w:fldChar w:fldCharType="begin"/>
      </w:r>
      <w:r>
        <w:instrText xml:space="preserve"> HYPERLINK \l "_Toc101253385" </w:instrText>
      </w:r>
      <w:r>
        <w:fldChar w:fldCharType="separate"/>
      </w:r>
      <w:r>
        <w:rPr>
          <w:rStyle w:val="33"/>
          <w:rFonts w:ascii="仿宋" w:hAnsi="仿宋" w:eastAsia="仿宋" w:cs="仿宋"/>
          <w:color w:val="auto"/>
          <w:sz w:val="30"/>
          <w:szCs w:val="30"/>
        </w:rPr>
        <w:t>第四节  有序开展土壤污染治理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_Toc101253385 \h </w:instrText>
      </w:r>
      <w:r>
        <w:rPr>
          <w:rFonts w:ascii="仿宋" w:hAnsi="仿宋" w:eastAsia="仿宋"/>
          <w:sz w:val="30"/>
          <w:szCs w:val="30"/>
        </w:rPr>
        <w:fldChar w:fldCharType="separate"/>
      </w:r>
      <w:r>
        <w:rPr>
          <w:rFonts w:ascii="仿宋" w:hAnsi="仿宋" w:eastAsia="仿宋"/>
          <w:sz w:val="30"/>
          <w:szCs w:val="30"/>
        </w:rPr>
        <w:t>39</w:t>
      </w:r>
      <w:r>
        <w:rPr>
          <w:rFonts w:ascii="仿宋" w:hAnsi="仿宋" w:eastAsia="仿宋"/>
          <w:sz w:val="30"/>
          <w:szCs w:val="30"/>
        </w:rPr>
        <w:fldChar w:fldCharType="end"/>
      </w:r>
      <w:r>
        <w:rPr>
          <w:rFonts w:ascii="仿宋" w:hAnsi="仿宋" w:eastAsia="仿宋"/>
          <w:sz w:val="30"/>
          <w:szCs w:val="30"/>
        </w:rPr>
        <w:fldChar w:fldCharType="end"/>
      </w:r>
    </w:p>
    <w:p w14:paraId="30F85A22">
      <w:pPr>
        <w:pStyle w:val="22"/>
        <w:tabs>
          <w:tab w:val="right" w:leader="dot" w:pos="8296"/>
        </w:tabs>
        <w:rPr>
          <w:rFonts w:ascii="仿宋" w:hAnsi="仿宋" w:eastAsia="仿宋" w:cstheme="minorBidi"/>
          <w:sz w:val="30"/>
          <w:szCs w:val="30"/>
        </w:rPr>
      </w:pPr>
      <w:r>
        <w:fldChar w:fldCharType="begin"/>
      </w:r>
      <w:r>
        <w:instrText xml:space="preserve"> HYPERLINK \l "_Toc101253386" </w:instrText>
      </w:r>
      <w:r>
        <w:fldChar w:fldCharType="separate"/>
      </w:r>
      <w:r>
        <w:rPr>
          <w:rStyle w:val="33"/>
          <w:rFonts w:ascii="仿宋" w:hAnsi="仿宋" w:eastAsia="仿宋" w:cs="仿宋"/>
          <w:color w:val="auto"/>
          <w:sz w:val="30"/>
          <w:szCs w:val="30"/>
        </w:rPr>
        <w:t>第五节  开展土壤污染治理与修复</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_Toc101253386 \h </w:instrText>
      </w:r>
      <w:r>
        <w:rPr>
          <w:rFonts w:ascii="仿宋" w:hAnsi="仿宋" w:eastAsia="仿宋"/>
          <w:sz w:val="30"/>
          <w:szCs w:val="30"/>
        </w:rPr>
        <w:fldChar w:fldCharType="separate"/>
      </w:r>
      <w:r>
        <w:rPr>
          <w:rFonts w:ascii="仿宋" w:hAnsi="仿宋" w:eastAsia="仿宋"/>
          <w:sz w:val="30"/>
          <w:szCs w:val="30"/>
        </w:rPr>
        <w:t>39</w:t>
      </w:r>
      <w:r>
        <w:rPr>
          <w:rFonts w:ascii="仿宋" w:hAnsi="仿宋" w:eastAsia="仿宋"/>
          <w:sz w:val="30"/>
          <w:szCs w:val="30"/>
        </w:rPr>
        <w:fldChar w:fldCharType="end"/>
      </w:r>
      <w:r>
        <w:rPr>
          <w:rFonts w:ascii="仿宋" w:hAnsi="仿宋" w:eastAsia="仿宋"/>
          <w:sz w:val="30"/>
          <w:szCs w:val="30"/>
        </w:rPr>
        <w:fldChar w:fldCharType="end"/>
      </w:r>
    </w:p>
    <w:p w14:paraId="5F9200A7">
      <w:pPr>
        <w:pStyle w:val="19"/>
        <w:tabs>
          <w:tab w:val="right" w:leader="dot" w:pos="8296"/>
        </w:tabs>
        <w:rPr>
          <w:rFonts w:ascii="仿宋" w:hAnsi="仿宋" w:eastAsia="仿宋" w:cstheme="minorBidi"/>
          <w:sz w:val="30"/>
          <w:szCs w:val="30"/>
        </w:rPr>
      </w:pPr>
      <w:r>
        <w:fldChar w:fldCharType="begin"/>
      </w:r>
      <w:r>
        <w:instrText xml:space="preserve"> HYPERLINK \l "_Toc101253387" </w:instrText>
      </w:r>
      <w:r>
        <w:fldChar w:fldCharType="separate"/>
      </w:r>
      <w:r>
        <w:rPr>
          <w:rStyle w:val="33"/>
          <w:rFonts w:ascii="仿宋" w:hAnsi="仿宋" w:eastAsia="仿宋" w:cs="仿宋"/>
          <w:color w:val="auto"/>
          <w:sz w:val="30"/>
          <w:szCs w:val="30"/>
        </w:rPr>
        <w:t>第七章  强化风险防控，推进固体废物资源化利用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_Toc101253387 \h </w:instrText>
      </w:r>
      <w:r>
        <w:rPr>
          <w:rFonts w:ascii="仿宋" w:hAnsi="仿宋" w:eastAsia="仿宋"/>
          <w:sz w:val="30"/>
          <w:szCs w:val="30"/>
        </w:rPr>
        <w:fldChar w:fldCharType="separate"/>
      </w:r>
      <w:r>
        <w:rPr>
          <w:rFonts w:ascii="仿宋" w:hAnsi="仿宋" w:eastAsia="仿宋"/>
          <w:sz w:val="30"/>
          <w:szCs w:val="30"/>
        </w:rPr>
        <w:t>40</w:t>
      </w:r>
      <w:r>
        <w:rPr>
          <w:rFonts w:ascii="仿宋" w:hAnsi="仿宋" w:eastAsia="仿宋"/>
          <w:sz w:val="30"/>
          <w:szCs w:val="30"/>
        </w:rPr>
        <w:fldChar w:fldCharType="end"/>
      </w:r>
      <w:r>
        <w:rPr>
          <w:rFonts w:ascii="仿宋" w:hAnsi="仿宋" w:eastAsia="仿宋"/>
          <w:sz w:val="30"/>
          <w:szCs w:val="30"/>
        </w:rPr>
        <w:fldChar w:fldCharType="end"/>
      </w:r>
    </w:p>
    <w:p w14:paraId="277A4F70">
      <w:pPr>
        <w:pStyle w:val="22"/>
        <w:tabs>
          <w:tab w:val="right" w:leader="dot" w:pos="8296"/>
        </w:tabs>
        <w:rPr>
          <w:rFonts w:ascii="仿宋" w:hAnsi="仿宋" w:eastAsia="仿宋" w:cstheme="minorBidi"/>
          <w:sz w:val="30"/>
          <w:szCs w:val="30"/>
        </w:rPr>
      </w:pPr>
      <w:r>
        <w:fldChar w:fldCharType="begin"/>
      </w:r>
      <w:r>
        <w:instrText xml:space="preserve"> HYPERLINK \l "_Toc101253388" </w:instrText>
      </w:r>
      <w:r>
        <w:fldChar w:fldCharType="separate"/>
      </w:r>
      <w:r>
        <w:rPr>
          <w:rStyle w:val="33"/>
          <w:rFonts w:ascii="仿宋" w:hAnsi="仿宋" w:eastAsia="仿宋" w:cs="仿宋"/>
          <w:color w:val="auto"/>
          <w:sz w:val="30"/>
          <w:szCs w:val="30"/>
        </w:rPr>
        <w:t>第一节  强化环境风险应急管理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_Toc101253388 \h </w:instrText>
      </w:r>
      <w:r>
        <w:rPr>
          <w:rFonts w:ascii="仿宋" w:hAnsi="仿宋" w:eastAsia="仿宋"/>
          <w:sz w:val="30"/>
          <w:szCs w:val="30"/>
        </w:rPr>
        <w:fldChar w:fldCharType="separate"/>
      </w:r>
      <w:r>
        <w:rPr>
          <w:rFonts w:ascii="仿宋" w:hAnsi="仿宋" w:eastAsia="仿宋"/>
          <w:sz w:val="30"/>
          <w:szCs w:val="30"/>
        </w:rPr>
        <w:t>40</w:t>
      </w:r>
      <w:r>
        <w:rPr>
          <w:rFonts w:ascii="仿宋" w:hAnsi="仿宋" w:eastAsia="仿宋"/>
          <w:sz w:val="30"/>
          <w:szCs w:val="30"/>
        </w:rPr>
        <w:fldChar w:fldCharType="end"/>
      </w:r>
      <w:r>
        <w:rPr>
          <w:rFonts w:ascii="仿宋" w:hAnsi="仿宋" w:eastAsia="仿宋"/>
          <w:sz w:val="30"/>
          <w:szCs w:val="30"/>
        </w:rPr>
        <w:fldChar w:fldCharType="end"/>
      </w:r>
    </w:p>
    <w:p w14:paraId="5C250362">
      <w:pPr>
        <w:pStyle w:val="22"/>
        <w:tabs>
          <w:tab w:val="right" w:leader="dot" w:pos="8296"/>
        </w:tabs>
        <w:rPr>
          <w:rFonts w:ascii="仿宋" w:hAnsi="仿宋" w:eastAsia="仿宋" w:cstheme="minorBidi"/>
          <w:sz w:val="30"/>
          <w:szCs w:val="30"/>
        </w:rPr>
      </w:pPr>
      <w:r>
        <w:fldChar w:fldCharType="begin"/>
      </w:r>
      <w:r>
        <w:instrText xml:space="preserve"> HYPERLINK \l "_Toc101253389" </w:instrText>
      </w:r>
      <w:r>
        <w:fldChar w:fldCharType="separate"/>
      </w:r>
      <w:r>
        <w:rPr>
          <w:rStyle w:val="33"/>
          <w:rFonts w:ascii="仿宋" w:hAnsi="仿宋" w:eastAsia="仿宋" w:cs="仿宋"/>
          <w:color w:val="auto"/>
          <w:sz w:val="30"/>
          <w:szCs w:val="30"/>
        </w:rPr>
        <w:t>第二节  加强固体废物污染防治</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_Toc101253389 \h </w:instrText>
      </w:r>
      <w:r>
        <w:rPr>
          <w:rFonts w:ascii="仿宋" w:hAnsi="仿宋" w:eastAsia="仿宋"/>
          <w:sz w:val="30"/>
          <w:szCs w:val="30"/>
        </w:rPr>
        <w:fldChar w:fldCharType="separate"/>
      </w:r>
      <w:r>
        <w:rPr>
          <w:rFonts w:ascii="仿宋" w:hAnsi="仿宋" w:eastAsia="仿宋"/>
          <w:sz w:val="30"/>
          <w:szCs w:val="30"/>
        </w:rPr>
        <w:t>40</w:t>
      </w:r>
      <w:r>
        <w:rPr>
          <w:rFonts w:ascii="仿宋" w:hAnsi="仿宋" w:eastAsia="仿宋"/>
          <w:sz w:val="30"/>
          <w:szCs w:val="30"/>
        </w:rPr>
        <w:fldChar w:fldCharType="end"/>
      </w:r>
      <w:r>
        <w:rPr>
          <w:rFonts w:ascii="仿宋" w:hAnsi="仿宋" w:eastAsia="仿宋"/>
          <w:sz w:val="30"/>
          <w:szCs w:val="30"/>
        </w:rPr>
        <w:fldChar w:fldCharType="end"/>
      </w:r>
    </w:p>
    <w:p w14:paraId="12074177">
      <w:pPr>
        <w:pStyle w:val="22"/>
        <w:tabs>
          <w:tab w:val="right" w:leader="dot" w:pos="8296"/>
        </w:tabs>
        <w:rPr>
          <w:rFonts w:ascii="仿宋" w:hAnsi="仿宋" w:eastAsia="仿宋" w:cstheme="minorBidi"/>
          <w:sz w:val="30"/>
          <w:szCs w:val="30"/>
        </w:rPr>
      </w:pPr>
      <w:r>
        <w:fldChar w:fldCharType="begin"/>
      </w:r>
      <w:r>
        <w:instrText xml:space="preserve"> HYPERLINK \l "_Toc101253390" </w:instrText>
      </w:r>
      <w:r>
        <w:fldChar w:fldCharType="separate"/>
      </w:r>
      <w:r>
        <w:rPr>
          <w:rStyle w:val="33"/>
          <w:rFonts w:ascii="仿宋" w:hAnsi="仿宋" w:eastAsia="仿宋" w:cs="仿宋"/>
          <w:color w:val="auto"/>
          <w:sz w:val="30"/>
          <w:szCs w:val="30"/>
        </w:rPr>
        <w:t>第三节  固体废物资源化利用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_Toc101253390 \h </w:instrText>
      </w:r>
      <w:r>
        <w:rPr>
          <w:rFonts w:ascii="仿宋" w:hAnsi="仿宋" w:eastAsia="仿宋"/>
          <w:sz w:val="30"/>
          <w:szCs w:val="30"/>
        </w:rPr>
        <w:fldChar w:fldCharType="separate"/>
      </w:r>
      <w:r>
        <w:rPr>
          <w:rFonts w:ascii="仿宋" w:hAnsi="仿宋" w:eastAsia="仿宋"/>
          <w:sz w:val="30"/>
          <w:szCs w:val="30"/>
        </w:rPr>
        <w:t>42</w:t>
      </w:r>
      <w:r>
        <w:rPr>
          <w:rFonts w:ascii="仿宋" w:hAnsi="仿宋" w:eastAsia="仿宋"/>
          <w:sz w:val="30"/>
          <w:szCs w:val="30"/>
        </w:rPr>
        <w:fldChar w:fldCharType="end"/>
      </w:r>
      <w:r>
        <w:rPr>
          <w:rFonts w:ascii="仿宋" w:hAnsi="仿宋" w:eastAsia="仿宋"/>
          <w:sz w:val="30"/>
          <w:szCs w:val="30"/>
        </w:rPr>
        <w:fldChar w:fldCharType="end"/>
      </w:r>
    </w:p>
    <w:p w14:paraId="21B6875D">
      <w:pPr>
        <w:pStyle w:val="22"/>
        <w:tabs>
          <w:tab w:val="right" w:leader="dot" w:pos="8296"/>
        </w:tabs>
        <w:rPr>
          <w:rFonts w:ascii="仿宋" w:hAnsi="仿宋" w:eastAsia="仿宋" w:cstheme="minorBidi"/>
          <w:sz w:val="30"/>
          <w:szCs w:val="30"/>
        </w:rPr>
      </w:pPr>
      <w:r>
        <w:fldChar w:fldCharType="begin"/>
      </w:r>
      <w:r>
        <w:instrText xml:space="preserve"> HYPERLINK \l "_Toc101253391" </w:instrText>
      </w:r>
      <w:r>
        <w:fldChar w:fldCharType="separate"/>
      </w:r>
      <w:r>
        <w:rPr>
          <w:rStyle w:val="33"/>
          <w:rFonts w:ascii="仿宋" w:hAnsi="仿宋" w:eastAsia="仿宋" w:cs="仿宋"/>
          <w:color w:val="auto"/>
          <w:sz w:val="30"/>
          <w:szCs w:val="30"/>
        </w:rPr>
        <w:t>第四节  推进重金属污染减排</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_Toc101253391 \h </w:instrText>
      </w:r>
      <w:r>
        <w:rPr>
          <w:rFonts w:ascii="仿宋" w:hAnsi="仿宋" w:eastAsia="仿宋"/>
          <w:sz w:val="30"/>
          <w:szCs w:val="30"/>
        </w:rPr>
        <w:fldChar w:fldCharType="separate"/>
      </w:r>
      <w:r>
        <w:rPr>
          <w:rFonts w:ascii="仿宋" w:hAnsi="仿宋" w:eastAsia="仿宋"/>
          <w:sz w:val="30"/>
          <w:szCs w:val="30"/>
        </w:rPr>
        <w:t>42</w:t>
      </w:r>
      <w:r>
        <w:rPr>
          <w:rFonts w:ascii="仿宋" w:hAnsi="仿宋" w:eastAsia="仿宋"/>
          <w:sz w:val="30"/>
          <w:szCs w:val="30"/>
        </w:rPr>
        <w:fldChar w:fldCharType="end"/>
      </w:r>
      <w:r>
        <w:rPr>
          <w:rFonts w:ascii="仿宋" w:hAnsi="仿宋" w:eastAsia="仿宋"/>
          <w:sz w:val="30"/>
          <w:szCs w:val="30"/>
        </w:rPr>
        <w:fldChar w:fldCharType="end"/>
      </w:r>
    </w:p>
    <w:p w14:paraId="745FAC5E">
      <w:pPr>
        <w:pStyle w:val="22"/>
        <w:tabs>
          <w:tab w:val="right" w:leader="dot" w:pos="8296"/>
        </w:tabs>
        <w:rPr>
          <w:rFonts w:ascii="仿宋" w:hAnsi="仿宋" w:eastAsia="仿宋" w:cstheme="minorBidi"/>
          <w:sz w:val="30"/>
          <w:szCs w:val="30"/>
        </w:rPr>
      </w:pPr>
      <w:r>
        <w:fldChar w:fldCharType="begin"/>
      </w:r>
      <w:r>
        <w:instrText xml:space="preserve"> HYPERLINK \l "_Toc101253392" </w:instrText>
      </w:r>
      <w:r>
        <w:fldChar w:fldCharType="separate"/>
      </w:r>
      <w:r>
        <w:rPr>
          <w:rStyle w:val="33"/>
          <w:rFonts w:ascii="仿宋" w:hAnsi="仿宋" w:eastAsia="仿宋" w:cs="仿宋"/>
          <w:color w:val="auto"/>
          <w:sz w:val="30"/>
          <w:szCs w:val="30"/>
        </w:rPr>
        <w:t>第五节  提升核与辐射安全监管水平</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_Toc101253392 \h </w:instrText>
      </w:r>
      <w:r>
        <w:rPr>
          <w:rFonts w:ascii="仿宋" w:hAnsi="仿宋" w:eastAsia="仿宋"/>
          <w:sz w:val="30"/>
          <w:szCs w:val="30"/>
        </w:rPr>
        <w:fldChar w:fldCharType="separate"/>
      </w:r>
      <w:r>
        <w:rPr>
          <w:rFonts w:ascii="仿宋" w:hAnsi="仿宋" w:eastAsia="仿宋"/>
          <w:sz w:val="30"/>
          <w:szCs w:val="30"/>
        </w:rPr>
        <w:t>43</w:t>
      </w:r>
      <w:r>
        <w:rPr>
          <w:rFonts w:ascii="仿宋" w:hAnsi="仿宋" w:eastAsia="仿宋"/>
          <w:sz w:val="30"/>
          <w:szCs w:val="30"/>
        </w:rPr>
        <w:fldChar w:fldCharType="end"/>
      </w:r>
      <w:r>
        <w:rPr>
          <w:rFonts w:ascii="仿宋" w:hAnsi="仿宋" w:eastAsia="仿宋"/>
          <w:sz w:val="30"/>
          <w:szCs w:val="30"/>
        </w:rPr>
        <w:fldChar w:fldCharType="end"/>
      </w:r>
    </w:p>
    <w:p w14:paraId="3664C9C7">
      <w:pPr>
        <w:pStyle w:val="19"/>
        <w:tabs>
          <w:tab w:val="right" w:leader="dot" w:pos="8296"/>
        </w:tabs>
        <w:rPr>
          <w:rFonts w:ascii="仿宋" w:hAnsi="仿宋" w:eastAsia="仿宋" w:cstheme="minorBidi"/>
          <w:sz w:val="30"/>
          <w:szCs w:val="30"/>
        </w:rPr>
      </w:pPr>
      <w:r>
        <w:fldChar w:fldCharType="begin"/>
      </w:r>
      <w:r>
        <w:instrText xml:space="preserve"> HYPERLINK \l "_Toc101253393" </w:instrText>
      </w:r>
      <w:r>
        <w:fldChar w:fldCharType="separate"/>
      </w:r>
      <w:r>
        <w:rPr>
          <w:rStyle w:val="33"/>
          <w:rFonts w:ascii="仿宋" w:hAnsi="仿宋" w:eastAsia="仿宋" w:cs="仿宋"/>
          <w:color w:val="auto"/>
          <w:sz w:val="30"/>
          <w:szCs w:val="30"/>
        </w:rPr>
        <w:t>第八章  推进生态环境管理机制创新，提高环境管理效能</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_Toc101253393 \h </w:instrText>
      </w:r>
      <w:r>
        <w:rPr>
          <w:rFonts w:ascii="仿宋" w:hAnsi="仿宋" w:eastAsia="仿宋"/>
          <w:sz w:val="30"/>
          <w:szCs w:val="30"/>
        </w:rPr>
        <w:fldChar w:fldCharType="separate"/>
      </w:r>
      <w:r>
        <w:rPr>
          <w:rFonts w:ascii="仿宋" w:hAnsi="仿宋" w:eastAsia="仿宋"/>
          <w:sz w:val="30"/>
          <w:szCs w:val="30"/>
        </w:rPr>
        <w:t>44</w:t>
      </w:r>
      <w:r>
        <w:rPr>
          <w:rFonts w:ascii="仿宋" w:hAnsi="仿宋" w:eastAsia="仿宋"/>
          <w:sz w:val="30"/>
          <w:szCs w:val="30"/>
        </w:rPr>
        <w:fldChar w:fldCharType="end"/>
      </w:r>
      <w:r>
        <w:rPr>
          <w:rFonts w:ascii="仿宋" w:hAnsi="仿宋" w:eastAsia="仿宋"/>
          <w:sz w:val="30"/>
          <w:szCs w:val="30"/>
        </w:rPr>
        <w:fldChar w:fldCharType="end"/>
      </w:r>
    </w:p>
    <w:p w14:paraId="14690106">
      <w:pPr>
        <w:pStyle w:val="22"/>
        <w:tabs>
          <w:tab w:val="right" w:leader="dot" w:pos="8296"/>
        </w:tabs>
        <w:rPr>
          <w:rFonts w:ascii="仿宋" w:hAnsi="仿宋" w:eastAsia="仿宋" w:cstheme="minorBidi"/>
          <w:sz w:val="30"/>
          <w:szCs w:val="30"/>
        </w:rPr>
      </w:pPr>
      <w:r>
        <w:fldChar w:fldCharType="begin"/>
      </w:r>
      <w:r>
        <w:instrText xml:space="preserve"> HYPERLINK \l "_Toc101253394" </w:instrText>
      </w:r>
      <w:r>
        <w:fldChar w:fldCharType="separate"/>
      </w:r>
      <w:r>
        <w:rPr>
          <w:rStyle w:val="33"/>
          <w:rFonts w:ascii="仿宋" w:hAnsi="仿宋" w:eastAsia="仿宋" w:cs="仿宋"/>
          <w:color w:val="auto"/>
          <w:sz w:val="30"/>
          <w:szCs w:val="30"/>
        </w:rPr>
        <w:t>第一节  精简项目审批流程，优化管控效力</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_Toc101253394 \h </w:instrText>
      </w:r>
      <w:r>
        <w:rPr>
          <w:rFonts w:ascii="仿宋" w:hAnsi="仿宋" w:eastAsia="仿宋"/>
          <w:sz w:val="30"/>
          <w:szCs w:val="30"/>
        </w:rPr>
        <w:fldChar w:fldCharType="separate"/>
      </w:r>
      <w:r>
        <w:rPr>
          <w:rFonts w:ascii="仿宋" w:hAnsi="仿宋" w:eastAsia="仿宋"/>
          <w:sz w:val="30"/>
          <w:szCs w:val="30"/>
        </w:rPr>
        <w:t>44</w:t>
      </w:r>
      <w:r>
        <w:rPr>
          <w:rFonts w:ascii="仿宋" w:hAnsi="仿宋" w:eastAsia="仿宋"/>
          <w:sz w:val="30"/>
          <w:szCs w:val="30"/>
        </w:rPr>
        <w:fldChar w:fldCharType="end"/>
      </w:r>
      <w:r>
        <w:rPr>
          <w:rFonts w:ascii="仿宋" w:hAnsi="仿宋" w:eastAsia="仿宋"/>
          <w:sz w:val="30"/>
          <w:szCs w:val="30"/>
        </w:rPr>
        <w:fldChar w:fldCharType="end"/>
      </w:r>
    </w:p>
    <w:p w14:paraId="414AA32A">
      <w:pPr>
        <w:pStyle w:val="22"/>
        <w:tabs>
          <w:tab w:val="right" w:leader="dot" w:pos="8296"/>
        </w:tabs>
        <w:rPr>
          <w:rFonts w:ascii="仿宋" w:hAnsi="仿宋" w:eastAsia="仿宋" w:cstheme="minorBidi"/>
          <w:sz w:val="30"/>
          <w:szCs w:val="30"/>
        </w:rPr>
      </w:pPr>
      <w:r>
        <w:fldChar w:fldCharType="begin"/>
      </w:r>
      <w:r>
        <w:instrText xml:space="preserve"> HYPERLINK \l "_Toc101253395" </w:instrText>
      </w:r>
      <w:r>
        <w:fldChar w:fldCharType="separate"/>
      </w:r>
      <w:r>
        <w:rPr>
          <w:rStyle w:val="33"/>
          <w:rFonts w:ascii="仿宋" w:hAnsi="仿宋" w:eastAsia="仿宋" w:cs="仿宋"/>
          <w:color w:val="auto"/>
          <w:sz w:val="30"/>
          <w:szCs w:val="30"/>
        </w:rPr>
        <w:t>第二节  改革创新生态环境机制</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_Toc101253395 \h </w:instrText>
      </w:r>
      <w:r>
        <w:rPr>
          <w:rFonts w:ascii="仿宋" w:hAnsi="仿宋" w:eastAsia="仿宋"/>
          <w:sz w:val="30"/>
          <w:szCs w:val="30"/>
        </w:rPr>
        <w:fldChar w:fldCharType="separate"/>
      </w:r>
      <w:r>
        <w:rPr>
          <w:rFonts w:ascii="仿宋" w:hAnsi="仿宋" w:eastAsia="仿宋"/>
          <w:sz w:val="30"/>
          <w:szCs w:val="30"/>
        </w:rPr>
        <w:t>44</w:t>
      </w:r>
      <w:r>
        <w:rPr>
          <w:rFonts w:ascii="仿宋" w:hAnsi="仿宋" w:eastAsia="仿宋"/>
          <w:sz w:val="30"/>
          <w:szCs w:val="30"/>
        </w:rPr>
        <w:fldChar w:fldCharType="end"/>
      </w:r>
      <w:r>
        <w:rPr>
          <w:rFonts w:ascii="仿宋" w:hAnsi="仿宋" w:eastAsia="仿宋"/>
          <w:sz w:val="30"/>
          <w:szCs w:val="30"/>
        </w:rPr>
        <w:fldChar w:fldCharType="end"/>
      </w:r>
    </w:p>
    <w:p w14:paraId="29265560">
      <w:pPr>
        <w:pStyle w:val="22"/>
        <w:tabs>
          <w:tab w:val="right" w:leader="dot" w:pos="8296"/>
        </w:tabs>
        <w:rPr>
          <w:rFonts w:ascii="仿宋" w:hAnsi="仿宋" w:eastAsia="仿宋" w:cstheme="minorBidi"/>
          <w:sz w:val="30"/>
          <w:szCs w:val="30"/>
        </w:rPr>
      </w:pPr>
      <w:r>
        <w:fldChar w:fldCharType="begin"/>
      </w:r>
      <w:r>
        <w:instrText xml:space="preserve"> HYPERLINK \l "_Toc101253396" </w:instrText>
      </w:r>
      <w:r>
        <w:fldChar w:fldCharType="separate"/>
      </w:r>
      <w:r>
        <w:rPr>
          <w:rStyle w:val="33"/>
          <w:rFonts w:ascii="仿宋" w:hAnsi="仿宋" w:eastAsia="仿宋" w:cs="仿宋"/>
          <w:color w:val="auto"/>
          <w:sz w:val="30"/>
          <w:szCs w:val="30"/>
          <w:shd w:val="clear" w:color="auto" w:fill="FFFFFF"/>
        </w:rPr>
        <w:t>第三节  完善生态环境监测体系能力建设</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_Toc101253396 \h </w:instrText>
      </w:r>
      <w:r>
        <w:rPr>
          <w:rFonts w:ascii="仿宋" w:hAnsi="仿宋" w:eastAsia="仿宋"/>
          <w:sz w:val="30"/>
          <w:szCs w:val="30"/>
        </w:rPr>
        <w:fldChar w:fldCharType="separate"/>
      </w:r>
      <w:r>
        <w:rPr>
          <w:rFonts w:ascii="仿宋" w:hAnsi="仿宋" w:eastAsia="仿宋"/>
          <w:sz w:val="30"/>
          <w:szCs w:val="30"/>
        </w:rPr>
        <w:t>46</w:t>
      </w:r>
      <w:r>
        <w:rPr>
          <w:rFonts w:ascii="仿宋" w:hAnsi="仿宋" w:eastAsia="仿宋"/>
          <w:sz w:val="30"/>
          <w:szCs w:val="30"/>
        </w:rPr>
        <w:fldChar w:fldCharType="end"/>
      </w:r>
      <w:r>
        <w:rPr>
          <w:rFonts w:ascii="仿宋" w:hAnsi="仿宋" w:eastAsia="仿宋"/>
          <w:sz w:val="30"/>
          <w:szCs w:val="30"/>
        </w:rPr>
        <w:fldChar w:fldCharType="end"/>
      </w:r>
    </w:p>
    <w:p w14:paraId="23C18C59">
      <w:pPr>
        <w:pStyle w:val="22"/>
        <w:tabs>
          <w:tab w:val="right" w:leader="dot" w:pos="8296"/>
        </w:tabs>
        <w:rPr>
          <w:rFonts w:ascii="仿宋" w:hAnsi="仿宋" w:eastAsia="仿宋" w:cstheme="minorBidi"/>
          <w:sz w:val="30"/>
          <w:szCs w:val="30"/>
        </w:rPr>
      </w:pPr>
      <w:r>
        <w:fldChar w:fldCharType="begin"/>
      </w:r>
      <w:r>
        <w:instrText xml:space="preserve"> HYPERLINK \l "_Toc101253397" </w:instrText>
      </w:r>
      <w:r>
        <w:fldChar w:fldCharType="separate"/>
      </w:r>
      <w:r>
        <w:rPr>
          <w:rStyle w:val="33"/>
          <w:rFonts w:ascii="仿宋" w:hAnsi="仿宋" w:eastAsia="仿宋" w:cs="仿宋"/>
          <w:color w:val="auto"/>
          <w:sz w:val="30"/>
          <w:szCs w:val="30"/>
          <w:shd w:val="clear" w:color="auto" w:fill="FFFFFF"/>
        </w:rPr>
        <w:t>第四节  建设智慧环保平台</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_Toc101253397 \h </w:instrText>
      </w:r>
      <w:r>
        <w:rPr>
          <w:rFonts w:ascii="仿宋" w:hAnsi="仿宋" w:eastAsia="仿宋"/>
          <w:sz w:val="30"/>
          <w:szCs w:val="30"/>
        </w:rPr>
        <w:fldChar w:fldCharType="separate"/>
      </w:r>
      <w:r>
        <w:rPr>
          <w:rFonts w:ascii="仿宋" w:hAnsi="仿宋" w:eastAsia="仿宋"/>
          <w:sz w:val="30"/>
          <w:szCs w:val="30"/>
        </w:rPr>
        <w:t>47</w:t>
      </w:r>
      <w:r>
        <w:rPr>
          <w:rFonts w:ascii="仿宋" w:hAnsi="仿宋" w:eastAsia="仿宋"/>
          <w:sz w:val="30"/>
          <w:szCs w:val="30"/>
        </w:rPr>
        <w:fldChar w:fldCharType="end"/>
      </w:r>
      <w:r>
        <w:rPr>
          <w:rFonts w:ascii="仿宋" w:hAnsi="仿宋" w:eastAsia="仿宋"/>
          <w:sz w:val="30"/>
          <w:szCs w:val="30"/>
        </w:rPr>
        <w:fldChar w:fldCharType="end"/>
      </w:r>
    </w:p>
    <w:p w14:paraId="5A649276">
      <w:pPr>
        <w:pStyle w:val="19"/>
        <w:tabs>
          <w:tab w:val="right" w:leader="dot" w:pos="8296"/>
        </w:tabs>
        <w:rPr>
          <w:rFonts w:ascii="仿宋" w:hAnsi="仿宋" w:eastAsia="仿宋" w:cstheme="minorBidi"/>
          <w:sz w:val="30"/>
          <w:szCs w:val="30"/>
        </w:rPr>
      </w:pPr>
      <w:r>
        <w:fldChar w:fldCharType="begin"/>
      </w:r>
      <w:r>
        <w:instrText xml:space="preserve"> HYPERLINK \l "_Toc101253398" </w:instrText>
      </w:r>
      <w:r>
        <w:fldChar w:fldCharType="separate"/>
      </w:r>
      <w:r>
        <w:rPr>
          <w:rStyle w:val="33"/>
          <w:rFonts w:ascii="仿宋" w:hAnsi="仿宋" w:eastAsia="仿宋" w:cs="仿宋"/>
          <w:color w:val="auto"/>
          <w:sz w:val="30"/>
          <w:szCs w:val="30"/>
        </w:rPr>
        <w:t xml:space="preserve">第九章  </w:t>
      </w:r>
      <w:r>
        <w:rPr>
          <w:rStyle w:val="33"/>
          <w:rFonts w:ascii="仿宋" w:hAnsi="仿宋" w:eastAsia="仿宋" w:cs="仿宋"/>
          <w:color w:val="auto"/>
          <w:kern w:val="44"/>
          <w:sz w:val="30"/>
          <w:szCs w:val="30"/>
        </w:rPr>
        <w:t>“十四五”生态文明重大工程</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_Toc101253398 \h </w:instrText>
      </w:r>
      <w:r>
        <w:rPr>
          <w:rFonts w:ascii="仿宋" w:hAnsi="仿宋" w:eastAsia="仿宋"/>
          <w:sz w:val="30"/>
          <w:szCs w:val="30"/>
        </w:rPr>
        <w:fldChar w:fldCharType="separate"/>
      </w:r>
      <w:r>
        <w:rPr>
          <w:rFonts w:ascii="仿宋" w:hAnsi="仿宋" w:eastAsia="仿宋"/>
          <w:sz w:val="30"/>
          <w:szCs w:val="30"/>
        </w:rPr>
        <w:t>48</w:t>
      </w:r>
      <w:r>
        <w:rPr>
          <w:rFonts w:ascii="仿宋" w:hAnsi="仿宋" w:eastAsia="仿宋"/>
          <w:sz w:val="30"/>
          <w:szCs w:val="30"/>
        </w:rPr>
        <w:fldChar w:fldCharType="end"/>
      </w:r>
      <w:r>
        <w:rPr>
          <w:rFonts w:ascii="仿宋" w:hAnsi="仿宋" w:eastAsia="仿宋"/>
          <w:sz w:val="30"/>
          <w:szCs w:val="30"/>
        </w:rPr>
        <w:fldChar w:fldCharType="end"/>
      </w:r>
    </w:p>
    <w:p w14:paraId="61E6A334">
      <w:pPr>
        <w:pStyle w:val="19"/>
        <w:tabs>
          <w:tab w:val="right" w:leader="dot" w:pos="8296"/>
        </w:tabs>
        <w:rPr>
          <w:rFonts w:ascii="仿宋" w:hAnsi="仿宋" w:eastAsia="仿宋" w:cstheme="minorBidi"/>
          <w:sz w:val="30"/>
          <w:szCs w:val="30"/>
        </w:rPr>
      </w:pPr>
      <w:r>
        <w:fldChar w:fldCharType="begin"/>
      </w:r>
      <w:r>
        <w:instrText xml:space="preserve"> HYPERLINK \l "_Toc101253399" </w:instrText>
      </w:r>
      <w:r>
        <w:fldChar w:fldCharType="separate"/>
      </w:r>
      <w:r>
        <w:rPr>
          <w:rStyle w:val="33"/>
          <w:rFonts w:ascii="仿宋" w:hAnsi="仿宋" w:eastAsia="仿宋" w:cs="仿宋"/>
          <w:color w:val="auto"/>
          <w:sz w:val="30"/>
          <w:szCs w:val="30"/>
        </w:rPr>
        <w:t>第十章  规划实施保障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_Toc101253399 \h </w:instrText>
      </w:r>
      <w:r>
        <w:rPr>
          <w:rFonts w:ascii="仿宋" w:hAnsi="仿宋" w:eastAsia="仿宋"/>
          <w:sz w:val="30"/>
          <w:szCs w:val="30"/>
        </w:rPr>
        <w:fldChar w:fldCharType="separate"/>
      </w:r>
      <w:r>
        <w:rPr>
          <w:rFonts w:ascii="仿宋" w:hAnsi="仿宋" w:eastAsia="仿宋"/>
          <w:sz w:val="30"/>
          <w:szCs w:val="30"/>
        </w:rPr>
        <w:t>49</w:t>
      </w:r>
      <w:r>
        <w:rPr>
          <w:rFonts w:ascii="仿宋" w:hAnsi="仿宋" w:eastAsia="仿宋"/>
          <w:sz w:val="30"/>
          <w:szCs w:val="30"/>
        </w:rPr>
        <w:fldChar w:fldCharType="end"/>
      </w:r>
      <w:r>
        <w:rPr>
          <w:rFonts w:ascii="仿宋" w:hAnsi="仿宋" w:eastAsia="仿宋"/>
          <w:sz w:val="30"/>
          <w:szCs w:val="30"/>
        </w:rPr>
        <w:fldChar w:fldCharType="end"/>
      </w:r>
    </w:p>
    <w:p w14:paraId="1FEF2B9D">
      <w:pPr>
        <w:pStyle w:val="22"/>
        <w:tabs>
          <w:tab w:val="right" w:leader="dot" w:pos="8296"/>
        </w:tabs>
        <w:rPr>
          <w:rFonts w:ascii="仿宋" w:hAnsi="仿宋" w:eastAsia="仿宋" w:cstheme="minorBidi"/>
          <w:sz w:val="30"/>
          <w:szCs w:val="30"/>
        </w:rPr>
      </w:pPr>
      <w:r>
        <w:fldChar w:fldCharType="begin"/>
      </w:r>
      <w:r>
        <w:instrText xml:space="preserve"> HYPERLINK \l "_Toc101253400" </w:instrText>
      </w:r>
      <w:r>
        <w:fldChar w:fldCharType="separate"/>
      </w:r>
      <w:r>
        <w:rPr>
          <w:rStyle w:val="33"/>
          <w:rFonts w:ascii="仿宋" w:hAnsi="仿宋" w:eastAsia="仿宋" w:cs="仿宋"/>
          <w:color w:val="auto"/>
          <w:sz w:val="30"/>
          <w:szCs w:val="30"/>
        </w:rPr>
        <w:t>第一节  加强组织领导</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_Toc101253400 \h </w:instrText>
      </w:r>
      <w:r>
        <w:rPr>
          <w:rFonts w:ascii="仿宋" w:hAnsi="仿宋" w:eastAsia="仿宋"/>
          <w:sz w:val="30"/>
          <w:szCs w:val="30"/>
        </w:rPr>
        <w:fldChar w:fldCharType="separate"/>
      </w:r>
      <w:r>
        <w:rPr>
          <w:rFonts w:ascii="仿宋" w:hAnsi="仿宋" w:eastAsia="仿宋"/>
          <w:sz w:val="30"/>
          <w:szCs w:val="30"/>
        </w:rPr>
        <w:t>49</w:t>
      </w:r>
      <w:r>
        <w:rPr>
          <w:rFonts w:ascii="仿宋" w:hAnsi="仿宋" w:eastAsia="仿宋"/>
          <w:sz w:val="30"/>
          <w:szCs w:val="30"/>
        </w:rPr>
        <w:fldChar w:fldCharType="end"/>
      </w:r>
      <w:r>
        <w:rPr>
          <w:rFonts w:ascii="仿宋" w:hAnsi="仿宋" w:eastAsia="仿宋"/>
          <w:sz w:val="30"/>
          <w:szCs w:val="30"/>
        </w:rPr>
        <w:fldChar w:fldCharType="end"/>
      </w:r>
    </w:p>
    <w:p w14:paraId="5E5088CE">
      <w:pPr>
        <w:pStyle w:val="22"/>
        <w:tabs>
          <w:tab w:val="right" w:leader="dot" w:pos="8296"/>
        </w:tabs>
        <w:rPr>
          <w:rFonts w:ascii="仿宋" w:hAnsi="仿宋" w:eastAsia="仿宋" w:cstheme="minorBidi"/>
          <w:sz w:val="30"/>
          <w:szCs w:val="30"/>
        </w:rPr>
      </w:pPr>
      <w:r>
        <w:fldChar w:fldCharType="begin"/>
      </w:r>
      <w:r>
        <w:instrText xml:space="preserve"> HYPERLINK \l "_Toc101253401" </w:instrText>
      </w:r>
      <w:r>
        <w:fldChar w:fldCharType="separate"/>
      </w:r>
      <w:r>
        <w:rPr>
          <w:rStyle w:val="33"/>
          <w:rFonts w:ascii="仿宋" w:hAnsi="仿宋" w:eastAsia="仿宋" w:cs="仿宋"/>
          <w:bCs/>
          <w:color w:val="auto"/>
          <w:sz w:val="30"/>
          <w:szCs w:val="30"/>
        </w:rPr>
        <w:t>第二节  强化资金保障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_Toc101253401 \h </w:instrText>
      </w:r>
      <w:r>
        <w:rPr>
          <w:rFonts w:ascii="仿宋" w:hAnsi="仿宋" w:eastAsia="仿宋"/>
          <w:sz w:val="30"/>
          <w:szCs w:val="30"/>
        </w:rPr>
        <w:fldChar w:fldCharType="separate"/>
      </w:r>
      <w:r>
        <w:rPr>
          <w:rFonts w:ascii="仿宋" w:hAnsi="仿宋" w:eastAsia="仿宋"/>
          <w:sz w:val="30"/>
          <w:szCs w:val="30"/>
        </w:rPr>
        <w:t>50</w:t>
      </w:r>
      <w:r>
        <w:rPr>
          <w:rFonts w:ascii="仿宋" w:hAnsi="仿宋" w:eastAsia="仿宋"/>
          <w:sz w:val="30"/>
          <w:szCs w:val="30"/>
        </w:rPr>
        <w:fldChar w:fldCharType="end"/>
      </w:r>
      <w:r>
        <w:rPr>
          <w:rFonts w:ascii="仿宋" w:hAnsi="仿宋" w:eastAsia="仿宋"/>
          <w:sz w:val="30"/>
          <w:szCs w:val="30"/>
        </w:rPr>
        <w:fldChar w:fldCharType="end"/>
      </w:r>
    </w:p>
    <w:p w14:paraId="63081A3A">
      <w:pPr>
        <w:pStyle w:val="22"/>
        <w:tabs>
          <w:tab w:val="right" w:leader="dot" w:pos="8296"/>
        </w:tabs>
        <w:rPr>
          <w:rFonts w:ascii="仿宋" w:hAnsi="仿宋" w:eastAsia="仿宋" w:cstheme="minorBidi"/>
          <w:sz w:val="30"/>
          <w:szCs w:val="30"/>
        </w:rPr>
      </w:pPr>
      <w:r>
        <w:fldChar w:fldCharType="begin"/>
      </w:r>
      <w:r>
        <w:instrText xml:space="preserve"> HYPERLINK \l "_Toc101253402" </w:instrText>
      </w:r>
      <w:r>
        <w:fldChar w:fldCharType="separate"/>
      </w:r>
      <w:r>
        <w:rPr>
          <w:rStyle w:val="33"/>
          <w:rFonts w:ascii="仿宋" w:hAnsi="仿宋" w:eastAsia="仿宋" w:cs="仿宋"/>
          <w:bCs/>
          <w:color w:val="auto"/>
          <w:sz w:val="30"/>
          <w:szCs w:val="30"/>
        </w:rPr>
        <w:t>第三节  落实建设项目和规划评估制度</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_Toc101253402 \h </w:instrText>
      </w:r>
      <w:r>
        <w:rPr>
          <w:rFonts w:ascii="仿宋" w:hAnsi="仿宋" w:eastAsia="仿宋"/>
          <w:sz w:val="30"/>
          <w:szCs w:val="30"/>
        </w:rPr>
        <w:fldChar w:fldCharType="separate"/>
      </w:r>
      <w:r>
        <w:rPr>
          <w:rFonts w:ascii="仿宋" w:hAnsi="仿宋" w:eastAsia="仿宋"/>
          <w:sz w:val="30"/>
          <w:szCs w:val="30"/>
        </w:rPr>
        <w:t>50</w:t>
      </w:r>
      <w:r>
        <w:rPr>
          <w:rFonts w:ascii="仿宋" w:hAnsi="仿宋" w:eastAsia="仿宋"/>
          <w:sz w:val="30"/>
          <w:szCs w:val="30"/>
        </w:rPr>
        <w:fldChar w:fldCharType="end"/>
      </w:r>
      <w:r>
        <w:rPr>
          <w:rFonts w:ascii="仿宋" w:hAnsi="仿宋" w:eastAsia="仿宋"/>
          <w:sz w:val="30"/>
          <w:szCs w:val="30"/>
        </w:rPr>
        <w:fldChar w:fldCharType="end"/>
      </w:r>
    </w:p>
    <w:p w14:paraId="3DACCB7A">
      <w:pPr>
        <w:pStyle w:val="22"/>
        <w:tabs>
          <w:tab w:val="right" w:leader="dot" w:pos="8296"/>
        </w:tabs>
        <w:rPr>
          <w:rFonts w:ascii="仿宋" w:hAnsi="仿宋" w:eastAsia="仿宋" w:cstheme="minorBidi"/>
          <w:sz w:val="30"/>
          <w:szCs w:val="30"/>
        </w:rPr>
      </w:pPr>
      <w:r>
        <w:fldChar w:fldCharType="begin"/>
      </w:r>
      <w:r>
        <w:instrText xml:space="preserve"> HYPERLINK \l "_Toc101253403" </w:instrText>
      </w:r>
      <w:r>
        <w:fldChar w:fldCharType="separate"/>
      </w:r>
      <w:r>
        <w:rPr>
          <w:rStyle w:val="33"/>
          <w:rFonts w:ascii="仿宋" w:hAnsi="仿宋" w:eastAsia="仿宋" w:cs="仿宋"/>
          <w:bCs/>
          <w:color w:val="auto"/>
          <w:sz w:val="30"/>
          <w:szCs w:val="30"/>
        </w:rPr>
        <w:t>第四节  强化科技保障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_Toc101253403 \h </w:instrText>
      </w:r>
      <w:r>
        <w:rPr>
          <w:rFonts w:ascii="仿宋" w:hAnsi="仿宋" w:eastAsia="仿宋"/>
          <w:sz w:val="30"/>
          <w:szCs w:val="30"/>
        </w:rPr>
        <w:fldChar w:fldCharType="separate"/>
      </w:r>
      <w:r>
        <w:rPr>
          <w:rFonts w:ascii="仿宋" w:hAnsi="仿宋" w:eastAsia="仿宋"/>
          <w:sz w:val="30"/>
          <w:szCs w:val="30"/>
        </w:rPr>
        <w:t>50</w:t>
      </w:r>
      <w:r>
        <w:rPr>
          <w:rFonts w:ascii="仿宋" w:hAnsi="仿宋" w:eastAsia="仿宋"/>
          <w:sz w:val="30"/>
          <w:szCs w:val="30"/>
        </w:rPr>
        <w:fldChar w:fldCharType="end"/>
      </w:r>
      <w:r>
        <w:rPr>
          <w:rFonts w:ascii="仿宋" w:hAnsi="仿宋" w:eastAsia="仿宋"/>
          <w:sz w:val="30"/>
          <w:szCs w:val="30"/>
        </w:rPr>
        <w:fldChar w:fldCharType="end"/>
      </w:r>
    </w:p>
    <w:p w14:paraId="6CB19DDF">
      <w:pPr>
        <w:pStyle w:val="22"/>
        <w:tabs>
          <w:tab w:val="right" w:leader="dot" w:pos="8296"/>
        </w:tabs>
        <w:rPr>
          <w:rFonts w:ascii="仿宋" w:hAnsi="仿宋" w:eastAsia="仿宋" w:cstheme="minorBidi"/>
          <w:sz w:val="30"/>
          <w:szCs w:val="30"/>
        </w:rPr>
      </w:pPr>
      <w:r>
        <w:fldChar w:fldCharType="begin"/>
      </w:r>
      <w:r>
        <w:instrText xml:space="preserve"> HYPERLINK \l "_Toc101253404" </w:instrText>
      </w:r>
      <w:r>
        <w:fldChar w:fldCharType="separate"/>
      </w:r>
      <w:r>
        <w:rPr>
          <w:rStyle w:val="33"/>
          <w:rFonts w:ascii="仿宋" w:hAnsi="仿宋" w:eastAsia="仿宋" w:cs="仿宋"/>
          <w:bCs/>
          <w:color w:val="auto"/>
          <w:sz w:val="30"/>
          <w:szCs w:val="30"/>
        </w:rPr>
        <w:t>第五节  公众宣传与教育保障</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_Toc101253404 \h </w:instrText>
      </w:r>
      <w:r>
        <w:rPr>
          <w:rFonts w:ascii="仿宋" w:hAnsi="仿宋" w:eastAsia="仿宋"/>
          <w:sz w:val="30"/>
          <w:szCs w:val="30"/>
        </w:rPr>
        <w:fldChar w:fldCharType="separate"/>
      </w:r>
      <w:r>
        <w:rPr>
          <w:rFonts w:ascii="仿宋" w:hAnsi="仿宋" w:eastAsia="仿宋"/>
          <w:sz w:val="30"/>
          <w:szCs w:val="30"/>
        </w:rPr>
        <w:t>51</w:t>
      </w:r>
      <w:r>
        <w:rPr>
          <w:rFonts w:ascii="仿宋" w:hAnsi="仿宋" w:eastAsia="仿宋"/>
          <w:sz w:val="30"/>
          <w:szCs w:val="30"/>
        </w:rPr>
        <w:fldChar w:fldCharType="end"/>
      </w:r>
      <w:r>
        <w:rPr>
          <w:rFonts w:ascii="仿宋" w:hAnsi="仿宋" w:eastAsia="仿宋"/>
          <w:sz w:val="30"/>
          <w:szCs w:val="30"/>
        </w:rPr>
        <w:fldChar w:fldCharType="end"/>
      </w:r>
    </w:p>
    <w:p w14:paraId="7DA1100D">
      <w:pPr>
        <w:pStyle w:val="19"/>
        <w:tabs>
          <w:tab w:val="right" w:leader="dot" w:pos="8296"/>
        </w:tabs>
        <w:rPr>
          <w:rFonts w:ascii="仿宋" w:hAnsi="仿宋" w:eastAsia="仿宋" w:cstheme="minorBidi"/>
          <w:sz w:val="30"/>
          <w:szCs w:val="30"/>
        </w:rPr>
      </w:pPr>
      <w:r>
        <w:fldChar w:fldCharType="begin"/>
      </w:r>
      <w:r>
        <w:instrText xml:space="preserve"> HYPERLINK \l "_Toc101253405" </w:instrText>
      </w:r>
      <w:r>
        <w:fldChar w:fldCharType="separate"/>
      </w:r>
      <w:r>
        <w:rPr>
          <w:rStyle w:val="33"/>
          <w:rFonts w:ascii="仿宋" w:hAnsi="仿宋" w:eastAsia="仿宋" w:cs="仿宋"/>
          <w:color w:val="auto"/>
          <w:sz w:val="30"/>
          <w:szCs w:val="30"/>
        </w:rPr>
        <w:t>附件1“十四五”生态文明建设重大工程</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_Toc101253405 \h </w:instrText>
      </w:r>
      <w:r>
        <w:rPr>
          <w:rFonts w:ascii="仿宋" w:hAnsi="仿宋" w:eastAsia="仿宋"/>
          <w:sz w:val="30"/>
          <w:szCs w:val="30"/>
        </w:rPr>
        <w:fldChar w:fldCharType="separate"/>
      </w:r>
      <w:r>
        <w:rPr>
          <w:rFonts w:ascii="仿宋" w:hAnsi="仿宋" w:eastAsia="仿宋"/>
          <w:sz w:val="30"/>
          <w:szCs w:val="30"/>
        </w:rPr>
        <w:t>52</w:t>
      </w:r>
      <w:r>
        <w:rPr>
          <w:rFonts w:ascii="仿宋" w:hAnsi="仿宋" w:eastAsia="仿宋"/>
          <w:sz w:val="30"/>
          <w:szCs w:val="30"/>
        </w:rPr>
        <w:fldChar w:fldCharType="end"/>
      </w:r>
      <w:r>
        <w:rPr>
          <w:rFonts w:ascii="仿宋" w:hAnsi="仿宋" w:eastAsia="仿宋"/>
          <w:sz w:val="30"/>
          <w:szCs w:val="30"/>
        </w:rPr>
        <w:fldChar w:fldCharType="end"/>
      </w:r>
    </w:p>
    <w:p w14:paraId="17625F40">
      <w:pPr>
        <w:jc w:val="center"/>
        <w:rPr>
          <w:rFonts w:ascii="仿宋" w:hAnsi="仿宋" w:eastAsia="仿宋" w:cs="仿宋"/>
          <w:sz w:val="32"/>
          <w:szCs w:val="32"/>
        </w:rPr>
        <w:sectPr>
          <w:pgSz w:w="11906" w:h="16838"/>
          <w:pgMar w:top="1701" w:right="1474" w:bottom="1701" w:left="1588" w:header="851" w:footer="992" w:gutter="0"/>
          <w:pgNumType w:start="1"/>
          <w:cols w:space="720" w:num="1"/>
          <w:docGrid w:type="lines" w:linePitch="312" w:charSpace="0"/>
        </w:sectPr>
      </w:pPr>
      <w:r>
        <w:rPr>
          <w:rFonts w:hint="eastAsia" w:ascii="仿宋" w:hAnsi="仿宋" w:eastAsia="仿宋" w:cs="仿宋"/>
          <w:sz w:val="28"/>
          <w:szCs w:val="32"/>
        </w:rPr>
        <w:fldChar w:fldCharType="end"/>
      </w:r>
    </w:p>
    <w:p w14:paraId="732A1252">
      <w:pPr>
        <w:pStyle w:val="3"/>
        <w:spacing w:before="0" w:after="0" w:line="550" w:lineRule="exact"/>
        <w:contextualSpacing/>
        <w:jc w:val="center"/>
        <w:rPr>
          <w:rFonts w:ascii="仿宋" w:hAnsi="仿宋" w:eastAsia="仿宋" w:cs="仿宋"/>
          <w:sz w:val="32"/>
          <w:szCs w:val="32"/>
        </w:rPr>
      </w:pPr>
      <w:bookmarkStart w:id="11" w:name="_Toc6730"/>
      <w:bookmarkStart w:id="12" w:name="_Toc30372"/>
      <w:bookmarkStart w:id="13" w:name="_Toc457484782"/>
      <w:bookmarkStart w:id="14" w:name="_Toc101253358"/>
      <w:bookmarkStart w:id="15" w:name="_Toc466886009"/>
      <w:bookmarkStart w:id="16" w:name="_Toc28891"/>
      <w:bookmarkStart w:id="17" w:name="_Toc19142"/>
      <w:bookmarkStart w:id="18" w:name="_Toc7046"/>
      <w:bookmarkStart w:id="19" w:name="_Toc19401"/>
      <w:bookmarkStart w:id="20" w:name="_Toc24767"/>
      <w:bookmarkStart w:id="21" w:name="_Toc3866"/>
      <w:r>
        <w:rPr>
          <w:rFonts w:hint="eastAsia" w:ascii="仿宋" w:hAnsi="仿宋" w:eastAsia="仿宋" w:cs="仿宋"/>
          <w:sz w:val="32"/>
          <w:szCs w:val="32"/>
        </w:rPr>
        <w:t>第一章  雁塔区生态环境保护工作成效与面临形势</w:t>
      </w:r>
      <w:bookmarkEnd w:id="11"/>
      <w:bookmarkEnd w:id="12"/>
      <w:bookmarkEnd w:id="13"/>
      <w:bookmarkEnd w:id="14"/>
      <w:bookmarkEnd w:id="15"/>
      <w:bookmarkEnd w:id="16"/>
      <w:bookmarkEnd w:id="17"/>
      <w:bookmarkEnd w:id="18"/>
      <w:bookmarkEnd w:id="19"/>
      <w:bookmarkEnd w:id="20"/>
      <w:bookmarkEnd w:id="21"/>
    </w:p>
    <w:p w14:paraId="22A41267">
      <w:pPr>
        <w:spacing w:line="550" w:lineRule="exact"/>
        <w:ind w:firstLine="640" w:firstLineChars="200"/>
        <w:rPr>
          <w:rFonts w:ascii="仿宋" w:hAnsi="仿宋" w:eastAsia="仿宋" w:cs="仿宋"/>
          <w:sz w:val="32"/>
          <w:szCs w:val="32"/>
        </w:rPr>
      </w:pPr>
      <w:bookmarkStart w:id="22" w:name="_Toc1163"/>
      <w:bookmarkStart w:id="23" w:name="_Toc11981"/>
      <w:bookmarkStart w:id="24" w:name="_Toc29332"/>
      <w:bookmarkStart w:id="25" w:name="_Toc25386"/>
      <w:bookmarkStart w:id="26" w:name="_Toc27962"/>
      <w:bookmarkStart w:id="27" w:name="_Toc28384"/>
      <w:bookmarkStart w:id="28" w:name="_Toc29228"/>
      <w:bookmarkStart w:id="29" w:name="_Toc5502"/>
      <w:bookmarkStart w:id="30" w:name="_Toc457484783"/>
      <w:bookmarkStart w:id="31" w:name="_Toc466886010"/>
      <w:r>
        <w:rPr>
          <w:rFonts w:hint="eastAsia" w:ascii="仿宋" w:hAnsi="仿宋" w:eastAsia="仿宋" w:cs="仿宋"/>
          <w:sz w:val="32"/>
          <w:szCs w:val="32"/>
        </w:rPr>
        <w:t>雁塔区坚持以习近平生态文明思想为指导，深入学习贯彻习近平总书记来陕考察重要讲话精神，紧紧围绕环境保护“十三五”规划目标及指标要求，积极开展生态环境保护，科学实施城市结构建设、城市绿化建设，推行循环经济和清洁生产，坚持水气同治，开展治污减霾，不断改善雁塔区环境质量；主要污染物实现总量减排，达标排放；辖区环境空气质量、流域水环境得到显著改善，生态环境得到稳步提高，实现环境保护与经济社会协调发展。总体进展顺利，成效明显。</w:t>
      </w:r>
    </w:p>
    <w:p w14:paraId="777159CF">
      <w:pPr>
        <w:pStyle w:val="4"/>
        <w:adjustRightInd w:val="0"/>
        <w:spacing w:line="550" w:lineRule="exact"/>
        <w:ind w:firstLine="0" w:firstLineChars="0"/>
        <w:jc w:val="center"/>
        <w:rPr>
          <w:rFonts w:ascii="仿宋" w:hAnsi="仿宋" w:cs="仿宋"/>
          <w:sz w:val="32"/>
        </w:rPr>
      </w:pPr>
      <w:bookmarkStart w:id="32" w:name="_Toc101253359"/>
      <w:r>
        <w:rPr>
          <w:rFonts w:hint="eastAsia" w:ascii="仿宋" w:hAnsi="仿宋" w:cs="仿宋"/>
          <w:sz w:val="32"/>
        </w:rPr>
        <w:t>第一节  “十三五”环境保护与生态文明建设取得的成效</w:t>
      </w:r>
      <w:bookmarkEnd w:id="22"/>
      <w:bookmarkEnd w:id="23"/>
      <w:bookmarkEnd w:id="24"/>
      <w:bookmarkEnd w:id="25"/>
      <w:bookmarkEnd w:id="26"/>
      <w:bookmarkEnd w:id="27"/>
      <w:bookmarkEnd w:id="28"/>
      <w:bookmarkEnd w:id="29"/>
      <w:bookmarkEnd w:id="30"/>
      <w:bookmarkEnd w:id="31"/>
      <w:bookmarkEnd w:id="32"/>
    </w:p>
    <w:p w14:paraId="28E10C07">
      <w:pPr>
        <w:spacing w:line="550" w:lineRule="exact"/>
        <w:ind w:firstLine="643" w:firstLineChars="200"/>
        <w:rPr>
          <w:rFonts w:ascii="仿宋" w:hAnsi="仿宋" w:eastAsia="仿宋" w:cs="仿宋"/>
          <w:b/>
          <w:sz w:val="32"/>
          <w:szCs w:val="32"/>
        </w:rPr>
      </w:pPr>
      <w:r>
        <w:rPr>
          <w:rFonts w:hint="eastAsia" w:ascii="仿宋" w:hAnsi="仿宋" w:eastAsia="仿宋" w:cs="仿宋"/>
          <w:b/>
          <w:sz w:val="32"/>
          <w:szCs w:val="32"/>
        </w:rPr>
        <w:t>一、“十三五”主要环境保护指标完成情况</w:t>
      </w:r>
    </w:p>
    <w:p w14:paraId="4A7A68EC">
      <w:pPr>
        <w:spacing w:line="550" w:lineRule="exact"/>
        <w:ind w:firstLine="643" w:firstLineChars="200"/>
        <w:rPr>
          <w:rFonts w:ascii="仿宋" w:hAnsi="仿宋" w:eastAsia="仿宋" w:cs="仿宋"/>
          <w:b/>
          <w:sz w:val="32"/>
          <w:szCs w:val="32"/>
        </w:rPr>
      </w:pPr>
      <w:r>
        <w:rPr>
          <w:rFonts w:hint="eastAsia" w:ascii="仿宋" w:hAnsi="仿宋" w:eastAsia="仿宋" w:cs="仿宋"/>
          <w:b/>
          <w:sz w:val="32"/>
          <w:szCs w:val="32"/>
        </w:rPr>
        <w:t>1、规划目标基本实现</w:t>
      </w:r>
    </w:p>
    <w:p w14:paraId="7C21DA60">
      <w:pPr>
        <w:pStyle w:val="27"/>
        <w:spacing w:after="0" w:line="550" w:lineRule="exact"/>
        <w:ind w:left="0" w:leftChars="0" w:firstLine="640"/>
        <w:rPr>
          <w:rFonts w:ascii="仿宋" w:hAnsi="仿宋" w:eastAsia="仿宋" w:cs="仿宋"/>
        </w:rPr>
      </w:pPr>
      <w:r>
        <w:rPr>
          <w:rFonts w:hint="eastAsia" w:ascii="仿宋" w:hAnsi="仿宋" w:eastAsia="仿宋" w:cs="仿宋"/>
          <w:sz w:val="32"/>
          <w:szCs w:val="32"/>
        </w:rPr>
        <w:t>“十三五”期间环境保护工作成效显著，截止2020年底，雁塔区优良天数243天，较201</w:t>
      </w:r>
      <w:r>
        <w:rPr>
          <w:rFonts w:ascii="仿宋" w:hAnsi="仿宋" w:eastAsia="仿宋" w:cs="仿宋"/>
          <w:sz w:val="32"/>
          <w:szCs w:val="32"/>
        </w:rPr>
        <w:t>5</w:t>
      </w:r>
      <w:r>
        <w:rPr>
          <w:rFonts w:hint="eastAsia" w:ascii="仿宋" w:hAnsi="仿宋" w:eastAsia="仿宋" w:cs="仿宋"/>
          <w:sz w:val="32"/>
          <w:szCs w:val="32"/>
        </w:rPr>
        <w:t>年增加</w:t>
      </w:r>
      <w:r>
        <w:rPr>
          <w:rFonts w:ascii="仿宋" w:hAnsi="仿宋" w:eastAsia="仿宋" w:cs="仿宋"/>
          <w:sz w:val="32"/>
          <w:szCs w:val="32"/>
        </w:rPr>
        <w:t>19</w:t>
      </w:r>
      <w:r>
        <w:rPr>
          <w:rFonts w:hint="eastAsia" w:ascii="仿宋" w:hAnsi="仿宋" w:eastAsia="仿宋" w:cs="仿宋"/>
          <w:sz w:val="32"/>
          <w:szCs w:val="32"/>
        </w:rPr>
        <w:t>天；PM</w:t>
      </w:r>
      <w:r>
        <w:rPr>
          <w:rFonts w:hint="eastAsia" w:ascii="仿宋" w:hAnsi="仿宋" w:eastAsia="仿宋" w:cs="仿宋"/>
          <w:sz w:val="32"/>
          <w:szCs w:val="32"/>
          <w:vertAlign w:val="subscript"/>
        </w:rPr>
        <w:t>10</w:t>
      </w:r>
      <w:r>
        <w:rPr>
          <w:rFonts w:hint="eastAsia" w:ascii="仿宋" w:hAnsi="仿宋" w:eastAsia="仿宋" w:cs="仿宋"/>
          <w:sz w:val="32"/>
          <w:szCs w:val="32"/>
        </w:rPr>
        <w:t>平均浓度89μg/m</w:t>
      </w:r>
      <w:r>
        <w:rPr>
          <w:rFonts w:hint="eastAsia" w:ascii="仿宋" w:hAnsi="仿宋" w:eastAsia="仿宋" w:cs="仿宋"/>
          <w:sz w:val="32"/>
          <w:szCs w:val="32"/>
          <w:vertAlign w:val="superscript"/>
        </w:rPr>
        <w:t>3</w:t>
      </w:r>
      <w:r>
        <w:rPr>
          <w:rFonts w:hint="eastAsia" w:ascii="仿宋" w:hAnsi="仿宋" w:eastAsia="仿宋" w:cs="仿宋"/>
          <w:sz w:val="32"/>
          <w:szCs w:val="32"/>
        </w:rPr>
        <w:t>，与201</w:t>
      </w:r>
      <w:r>
        <w:rPr>
          <w:rFonts w:ascii="仿宋" w:hAnsi="仿宋" w:eastAsia="仿宋" w:cs="仿宋"/>
          <w:sz w:val="32"/>
          <w:szCs w:val="32"/>
        </w:rPr>
        <w:t>5</w:t>
      </w:r>
      <w:r>
        <w:rPr>
          <w:rFonts w:hint="eastAsia" w:ascii="仿宋" w:hAnsi="仿宋" w:eastAsia="仿宋" w:cs="仿宋"/>
          <w:sz w:val="32"/>
          <w:szCs w:val="32"/>
        </w:rPr>
        <w:t>年同期相比减少</w:t>
      </w:r>
      <w:r>
        <w:rPr>
          <w:rFonts w:ascii="仿宋" w:hAnsi="仿宋" w:eastAsia="仿宋" w:cs="仿宋"/>
          <w:sz w:val="32"/>
          <w:szCs w:val="32"/>
        </w:rPr>
        <w:t>44</w:t>
      </w:r>
      <w:r>
        <w:rPr>
          <w:rFonts w:hint="eastAsia" w:ascii="仿宋" w:hAnsi="仿宋" w:eastAsia="仿宋" w:cs="仿宋"/>
          <w:sz w:val="32"/>
          <w:szCs w:val="32"/>
        </w:rPr>
        <w:t>μg/m</w:t>
      </w:r>
      <w:r>
        <w:rPr>
          <w:rFonts w:hint="eastAsia" w:ascii="仿宋" w:hAnsi="仿宋" w:eastAsia="仿宋" w:cs="仿宋"/>
          <w:sz w:val="32"/>
          <w:szCs w:val="32"/>
          <w:vertAlign w:val="superscript"/>
        </w:rPr>
        <w:t>3</w:t>
      </w:r>
      <w:r>
        <w:rPr>
          <w:rFonts w:hint="eastAsia" w:ascii="仿宋" w:hAnsi="仿宋" w:eastAsia="仿宋" w:cs="仿宋"/>
          <w:sz w:val="32"/>
          <w:szCs w:val="32"/>
        </w:rPr>
        <w:t>；PM</w:t>
      </w:r>
      <w:r>
        <w:rPr>
          <w:rFonts w:hint="eastAsia" w:ascii="仿宋" w:hAnsi="仿宋" w:eastAsia="仿宋" w:cs="仿宋"/>
          <w:sz w:val="32"/>
          <w:szCs w:val="32"/>
          <w:vertAlign w:val="subscript"/>
        </w:rPr>
        <w:t>2.5</w:t>
      </w:r>
      <w:r>
        <w:rPr>
          <w:rFonts w:hint="eastAsia" w:ascii="仿宋" w:hAnsi="仿宋" w:eastAsia="仿宋" w:cs="仿宋"/>
          <w:sz w:val="32"/>
          <w:szCs w:val="32"/>
        </w:rPr>
        <w:t>平均浓度46μg/m</w:t>
      </w:r>
      <w:r>
        <w:rPr>
          <w:rFonts w:hint="eastAsia" w:ascii="仿宋" w:hAnsi="仿宋" w:eastAsia="仿宋" w:cs="仿宋"/>
          <w:sz w:val="32"/>
          <w:szCs w:val="32"/>
          <w:vertAlign w:val="superscript"/>
        </w:rPr>
        <w:t>3</w:t>
      </w:r>
      <w:r>
        <w:rPr>
          <w:rFonts w:hint="eastAsia" w:ascii="仿宋" w:hAnsi="仿宋" w:eastAsia="仿宋" w:cs="仿宋"/>
          <w:sz w:val="32"/>
          <w:szCs w:val="32"/>
        </w:rPr>
        <w:t>，与201</w:t>
      </w:r>
      <w:r>
        <w:rPr>
          <w:rFonts w:ascii="仿宋" w:hAnsi="仿宋" w:eastAsia="仿宋" w:cs="仿宋"/>
          <w:sz w:val="32"/>
          <w:szCs w:val="32"/>
        </w:rPr>
        <w:t>5</w:t>
      </w:r>
      <w:r>
        <w:rPr>
          <w:rFonts w:hint="eastAsia" w:ascii="仿宋" w:hAnsi="仿宋" w:eastAsia="仿宋" w:cs="仿宋"/>
          <w:sz w:val="32"/>
          <w:szCs w:val="32"/>
        </w:rPr>
        <w:t>年同期相比减少1</w:t>
      </w:r>
      <w:r>
        <w:rPr>
          <w:rFonts w:ascii="仿宋" w:hAnsi="仿宋" w:eastAsia="仿宋" w:cs="仿宋"/>
          <w:sz w:val="32"/>
          <w:szCs w:val="32"/>
        </w:rPr>
        <w:t>7</w:t>
      </w:r>
      <w:r>
        <w:rPr>
          <w:rFonts w:hint="eastAsia" w:ascii="仿宋" w:hAnsi="仿宋" w:eastAsia="仿宋" w:cs="仿宋"/>
          <w:sz w:val="32"/>
          <w:szCs w:val="32"/>
        </w:rPr>
        <w:t>μg/m</w:t>
      </w:r>
      <w:r>
        <w:rPr>
          <w:rFonts w:hint="eastAsia" w:ascii="仿宋" w:hAnsi="仿宋" w:eastAsia="仿宋" w:cs="仿宋"/>
          <w:sz w:val="32"/>
          <w:szCs w:val="32"/>
          <w:vertAlign w:val="superscript"/>
        </w:rPr>
        <w:t>3</w:t>
      </w:r>
      <w:r>
        <w:rPr>
          <w:rFonts w:hint="eastAsia" w:ascii="仿宋" w:hAnsi="仿宋" w:eastAsia="仿宋" w:cs="仿宋"/>
          <w:sz w:val="32"/>
          <w:szCs w:val="32"/>
        </w:rPr>
        <w:t>；皂河雁塔段四个断面监测平均值为：COD18mg/L，氨氮1.722 mg/L，溶解氧7.2 mg/L，总磷0.19 mg/L，已摆脱劣V类水质；城市生活污水收集处理率达到100%，危险废弃物安全处置率及医疗废物处理率达100%。</w:t>
      </w:r>
    </w:p>
    <w:p w14:paraId="2C35839A">
      <w:pPr>
        <w:spacing w:line="550" w:lineRule="exact"/>
        <w:ind w:firstLine="643" w:firstLineChars="200"/>
        <w:rPr>
          <w:rFonts w:ascii="仿宋" w:hAnsi="仿宋" w:eastAsia="仿宋" w:cs="仿宋"/>
          <w:b/>
          <w:sz w:val="32"/>
          <w:szCs w:val="32"/>
        </w:rPr>
      </w:pPr>
      <w:r>
        <w:rPr>
          <w:rFonts w:hint="eastAsia" w:ascii="仿宋" w:hAnsi="仿宋" w:eastAsia="仿宋" w:cs="仿宋"/>
          <w:b/>
          <w:sz w:val="32"/>
          <w:szCs w:val="32"/>
        </w:rPr>
        <w:t>2、污染减排目标任务基本完成</w:t>
      </w:r>
    </w:p>
    <w:p w14:paraId="17B82AE3">
      <w:pPr>
        <w:spacing w:line="550" w:lineRule="exact"/>
        <w:ind w:firstLine="640" w:firstLineChars="200"/>
        <w:rPr>
          <w:rFonts w:ascii="仿宋" w:hAnsi="仿宋" w:eastAsia="仿宋" w:cs="仿宋"/>
          <w:kern w:val="0"/>
          <w:sz w:val="32"/>
          <w:szCs w:val="32"/>
        </w:rPr>
      </w:pPr>
      <w:r>
        <w:rPr>
          <w:rFonts w:eastAsia="仿宋"/>
          <w:sz w:val="32"/>
          <w:szCs w:val="32"/>
        </w:rPr>
        <w:t>“十三五”</w:t>
      </w:r>
      <w:r>
        <w:rPr>
          <w:rFonts w:hint="eastAsia" w:ascii="仿宋" w:hAnsi="仿宋" w:eastAsia="仿宋" w:cs="仿宋"/>
          <w:sz w:val="32"/>
          <w:szCs w:val="32"/>
        </w:rPr>
        <w:t>期间完成4个化学需氧量、氨氮减排项目，4个二氧化硫减排项目，5个氮氧化物减排项目，10个挥发性有机物减排项目；14家高校食堂、</w:t>
      </w:r>
      <w:r>
        <w:rPr>
          <w:rFonts w:hint="eastAsia" w:ascii="仿宋" w:hAnsi="仿宋" w:eastAsia="仿宋" w:cs="仿宋"/>
          <w:kern w:val="0"/>
          <w:sz w:val="32"/>
          <w:szCs w:val="32"/>
        </w:rPr>
        <w:t>42家党政机关、企事业单位食堂、136家400m</w:t>
      </w:r>
      <w:r>
        <w:rPr>
          <w:rFonts w:hint="eastAsia" w:ascii="仿宋" w:hAnsi="仿宋" w:eastAsia="仿宋" w:cs="仿宋"/>
          <w:kern w:val="0"/>
          <w:sz w:val="32"/>
          <w:szCs w:val="32"/>
          <w:vertAlign w:val="superscript"/>
        </w:rPr>
        <w:t>2</w:t>
      </w:r>
      <w:r>
        <w:rPr>
          <w:rFonts w:hint="eastAsia" w:ascii="仿宋" w:hAnsi="仿宋" w:eastAsia="仿宋" w:cs="仿宋"/>
          <w:kern w:val="0"/>
          <w:sz w:val="32"/>
          <w:szCs w:val="32"/>
        </w:rPr>
        <w:t>以上的经营性餐饮单位完成油烟治理工作；13户汽车4S店已全部完成有机废气深度治理工作；</w:t>
      </w:r>
      <w:r>
        <w:rPr>
          <w:rFonts w:hint="eastAsia" w:ascii="仿宋" w:hAnsi="仿宋" w:eastAsia="仿宋" w:cs="仿宋"/>
          <w:sz w:val="32"/>
          <w:szCs w:val="32"/>
        </w:rPr>
        <w:t>25</w:t>
      </w:r>
      <w:r>
        <w:rPr>
          <w:rFonts w:hint="eastAsia" w:ascii="仿宋" w:hAnsi="仿宋" w:eastAsia="仿宋" w:cs="仿宋"/>
          <w:kern w:val="0"/>
          <w:sz w:val="32"/>
          <w:szCs w:val="32"/>
        </w:rPr>
        <w:t>座加油站均已完成三次油气回收改造工作。基本完成减排任务。</w:t>
      </w:r>
    </w:p>
    <w:p w14:paraId="08E3000C">
      <w:pPr>
        <w:spacing w:line="550" w:lineRule="exact"/>
        <w:ind w:firstLine="643" w:firstLineChars="200"/>
        <w:jc w:val="both"/>
        <w:rPr>
          <w:rFonts w:ascii="仿宋" w:hAnsi="仿宋" w:eastAsia="仿宋" w:cs="仿宋"/>
          <w:b/>
          <w:bCs/>
          <w:sz w:val="32"/>
          <w:szCs w:val="32"/>
        </w:rPr>
      </w:pPr>
      <w:r>
        <w:rPr>
          <w:rFonts w:hint="eastAsia" w:ascii="仿宋" w:hAnsi="仿宋" w:eastAsia="仿宋" w:cs="仿宋"/>
          <w:b/>
          <w:bCs/>
          <w:sz w:val="32"/>
          <w:szCs w:val="32"/>
        </w:rPr>
        <w:t>二、“十三五”期间环境保护工作开展情况及成效</w:t>
      </w:r>
    </w:p>
    <w:p w14:paraId="0B473C4F">
      <w:pPr>
        <w:spacing w:line="550" w:lineRule="exact"/>
        <w:ind w:firstLine="643" w:firstLineChars="200"/>
        <w:rPr>
          <w:rFonts w:ascii="仿宋" w:hAnsi="仿宋" w:eastAsia="仿宋" w:cs="仿宋"/>
          <w:b/>
          <w:sz w:val="32"/>
          <w:szCs w:val="32"/>
        </w:rPr>
      </w:pPr>
      <w:r>
        <w:rPr>
          <w:rFonts w:hint="eastAsia" w:ascii="仿宋" w:hAnsi="仿宋" w:eastAsia="仿宋" w:cs="仿宋"/>
          <w:b/>
          <w:bCs/>
          <w:sz w:val="32"/>
          <w:szCs w:val="32"/>
        </w:rPr>
        <w:t>1、</w:t>
      </w:r>
      <w:r>
        <w:rPr>
          <w:rFonts w:hint="eastAsia" w:ascii="仿宋" w:hAnsi="仿宋" w:eastAsia="仿宋" w:cs="仿宋"/>
          <w:b/>
          <w:sz w:val="32"/>
          <w:szCs w:val="32"/>
        </w:rPr>
        <w:t>生态环境治理能力大幅提高</w:t>
      </w:r>
    </w:p>
    <w:p w14:paraId="51F75345">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成立由区委、区政府主要领导任主任的生态环境保护委员会，通过明晰责任、细化任务，加强督导、狠抓调度，强化考核、倒逼落实，加强宣传、示范引领等方式，雁塔区完成了从生态环境部门为主要牵头单位到党委领导、政府负责、生态环境部门统一监管、其他部门各司其职、全社会共同参与的转变，生态环境治理大格局日趋完善。</w:t>
      </w:r>
    </w:p>
    <w:p w14:paraId="7BB73474">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通过大力推进智慧环保建设，提高科技成果对科学治污、精准治污的支撑作用，为不断提升治理能力打下坚实基础。一是实施信息化监管，完成第二次全国污染源普查，将工业、生活等污染源逐一建档入库。二是推进科学治霾，邀请西安市及陕西省环科院专家团队，长期对雁塔区大气环境进行问诊把脉、精准施策。三是健全监测网络，构建起包含空气子站、河流断面、重点企业于一体的在线监控体系，将人防与技防高效结合。</w:t>
      </w:r>
    </w:p>
    <w:p w14:paraId="6451DD36">
      <w:pPr>
        <w:pStyle w:val="27"/>
        <w:spacing w:after="0" w:line="550" w:lineRule="exact"/>
        <w:ind w:left="0" w:leftChars="0" w:firstLine="643"/>
        <w:contextualSpacing/>
        <w:rPr>
          <w:rFonts w:ascii="仿宋" w:hAnsi="仿宋" w:eastAsia="仿宋" w:cs="仿宋"/>
          <w:b/>
          <w:sz w:val="32"/>
          <w:szCs w:val="32"/>
        </w:rPr>
      </w:pPr>
      <w:r>
        <w:rPr>
          <w:rFonts w:hint="eastAsia" w:ascii="仿宋" w:hAnsi="仿宋" w:eastAsia="仿宋" w:cs="仿宋"/>
          <w:b/>
          <w:sz w:val="32"/>
          <w:szCs w:val="32"/>
        </w:rPr>
        <w:t>2、大气环境质量稳定</w:t>
      </w:r>
    </w:p>
    <w:p w14:paraId="4731382C">
      <w:pPr>
        <w:pStyle w:val="27"/>
        <w:spacing w:after="0" w:line="550" w:lineRule="exact"/>
        <w:ind w:left="0" w:leftChars="0" w:firstLine="640"/>
        <w:contextualSpacing/>
        <w:rPr>
          <w:rFonts w:ascii="仿宋" w:hAnsi="仿宋" w:eastAsia="仿宋" w:cs="仿宋"/>
          <w:sz w:val="30"/>
          <w:szCs w:val="30"/>
        </w:rPr>
      </w:pPr>
      <w:r>
        <w:rPr>
          <w:rFonts w:hint="eastAsia" w:ascii="仿宋" w:hAnsi="仿宋" w:eastAsia="仿宋" w:cs="仿宋"/>
          <w:sz w:val="32"/>
          <w:szCs w:val="32"/>
        </w:rPr>
        <w:t>“十三五”期间，雁塔区先后印发了《西安市雁塔区2018年主要污染物总量减排实施方案》、《西安市雁塔区2019年主要污染物总量减排及碳排放强度降低实施方案》、《西安市雁塔区蓝天保卫战2020年工作方案》、《西安市雁塔区2020年主要污染物总量减排及碳排放强度降低实施方案》、《西安市</w:t>
      </w:r>
      <w:bookmarkStart w:id="33" w:name="_Hlk27746443"/>
      <w:r>
        <w:rPr>
          <w:rFonts w:hint="eastAsia" w:ascii="仿宋" w:hAnsi="仿宋" w:eastAsia="仿宋" w:cs="仿宋"/>
          <w:sz w:val="32"/>
          <w:szCs w:val="32"/>
        </w:rPr>
        <w:t>雁塔区“铁腕治霾·保卫蓝天”</w:t>
      </w:r>
      <w:bookmarkStart w:id="34" w:name="_Hlk28679526"/>
      <w:r>
        <w:rPr>
          <w:rFonts w:hint="eastAsia" w:ascii="仿宋" w:hAnsi="仿宋" w:eastAsia="仿宋" w:cs="仿宋"/>
          <w:sz w:val="32"/>
          <w:szCs w:val="32"/>
        </w:rPr>
        <w:t>禁止露天焚烧专项整治工作</w:t>
      </w:r>
      <w:bookmarkEnd w:id="34"/>
      <w:r>
        <w:rPr>
          <w:rFonts w:hint="eastAsia" w:ascii="仿宋" w:hAnsi="仿宋" w:eastAsia="仿宋" w:cs="仿宋"/>
          <w:sz w:val="32"/>
          <w:szCs w:val="32"/>
        </w:rPr>
        <w:t>方案</w:t>
      </w:r>
      <w:bookmarkEnd w:id="33"/>
      <w:r>
        <w:rPr>
          <w:rFonts w:hint="eastAsia" w:ascii="仿宋" w:hAnsi="仿宋" w:eastAsia="仿宋" w:cs="仿宋"/>
          <w:sz w:val="32"/>
          <w:szCs w:val="32"/>
        </w:rPr>
        <w:t>》等14个工作方案。定期召开全区大气污染防治工作例会、专题会、推进会等会议。深入开展产业调整、工业企业整治、扬尘管控等专项行动。</w:t>
      </w:r>
      <w:r>
        <w:rPr>
          <w:rFonts w:hint="eastAsia" w:ascii="仿宋" w:hAnsi="仿宋" w:eastAsia="仿宋" w:cs="仿宋"/>
          <w:sz w:val="30"/>
          <w:szCs w:val="30"/>
        </w:rPr>
        <w:t>2020年雁塔区优良天数较201</w:t>
      </w:r>
      <w:r>
        <w:rPr>
          <w:rFonts w:ascii="仿宋" w:hAnsi="仿宋" w:eastAsia="仿宋" w:cs="仿宋"/>
          <w:sz w:val="30"/>
          <w:szCs w:val="30"/>
        </w:rPr>
        <w:t>5</w:t>
      </w:r>
      <w:r>
        <w:rPr>
          <w:rFonts w:hint="eastAsia" w:ascii="仿宋" w:hAnsi="仿宋" w:eastAsia="仿宋" w:cs="仿宋"/>
          <w:sz w:val="30"/>
          <w:szCs w:val="30"/>
        </w:rPr>
        <w:t>年增加</w:t>
      </w:r>
      <w:r>
        <w:rPr>
          <w:rFonts w:ascii="仿宋" w:hAnsi="仿宋" w:eastAsia="仿宋" w:cs="仿宋"/>
          <w:sz w:val="30"/>
          <w:szCs w:val="30"/>
        </w:rPr>
        <w:t>8.48</w:t>
      </w:r>
      <w:r>
        <w:rPr>
          <w:rFonts w:hint="eastAsia" w:ascii="仿宋" w:hAnsi="仿宋" w:eastAsia="仿宋" w:cs="仿宋"/>
          <w:sz w:val="30"/>
          <w:szCs w:val="30"/>
        </w:rPr>
        <w:t>%；PM</w:t>
      </w:r>
      <w:r>
        <w:rPr>
          <w:rFonts w:hint="eastAsia" w:ascii="仿宋" w:hAnsi="仿宋" w:eastAsia="仿宋" w:cs="仿宋"/>
          <w:sz w:val="30"/>
          <w:szCs w:val="30"/>
          <w:vertAlign w:val="subscript"/>
        </w:rPr>
        <w:t>10</w:t>
      </w:r>
      <w:r>
        <w:rPr>
          <w:rFonts w:hint="eastAsia" w:ascii="仿宋" w:hAnsi="仿宋" w:eastAsia="仿宋" w:cs="仿宋"/>
          <w:sz w:val="30"/>
          <w:szCs w:val="30"/>
        </w:rPr>
        <w:t>平均浓度较201</w:t>
      </w:r>
      <w:r>
        <w:rPr>
          <w:rFonts w:ascii="仿宋" w:hAnsi="仿宋" w:eastAsia="仿宋" w:cs="仿宋"/>
          <w:sz w:val="30"/>
          <w:szCs w:val="30"/>
        </w:rPr>
        <w:t>5</w:t>
      </w:r>
      <w:r>
        <w:rPr>
          <w:rFonts w:hint="eastAsia" w:ascii="仿宋" w:hAnsi="仿宋" w:eastAsia="仿宋" w:cs="仿宋"/>
          <w:sz w:val="30"/>
          <w:szCs w:val="30"/>
        </w:rPr>
        <w:t>年同期相比减少</w:t>
      </w:r>
      <w:r>
        <w:rPr>
          <w:rFonts w:ascii="仿宋" w:hAnsi="仿宋" w:eastAsia="仿宋" w:cs="仿宋"/>
          <w:sz w:val="30"/>
          <w:szCs w:val="30"/>
        </w:rPr>
        <w:t>33.1</w:t>
      </w:r>
      <w:r>
        <w:rPr>
          <w:rFonts w:hint="eastAsia" w:ascii="仿宋" w:hAnsi="仿宋" w:eastAsia="仿宋" w:cs="仿宋"/>
          <w:sz w:val="30"/>
          <w:szCs w:val="30"/>
        </w:rPr>
        <w:t>%；PM</w:t>
      </w:r>
      <w:r>
        <w:rPr>
          <w:rFonts w:hint="eastAsia" w:ascii="仿宋" w:hAnsi="仿宋" w:eastAsia="仿宋" w:cs="仿宋"/>
          <w:sz w:val="30"/>
          <w:szCs w:val="30"/>
          <w:vertAlign w:val="subscript"/>
        </w:rPr>
        <w:t>2.5</w:t>
      </w:r>
      <w:r>
        <w:rPr>
          <w:rFonts w:hint="eastAsia" w:ascii="仿宋" w:hAnsi="仿宋" w:eastAsia="仿宋" w:cs="仿宋"/>
          <w:sz w:val="30"/>
          <w:szCs w:val="30"/>
        </w:rPr>
        <w:t>平均浓度较201</w:t>
      </w:r>
      <w:r>
        <w:rPr>
          <w:rFonts w:ascii="仿宋" w:hAnsi="仿宋" w:eastAsia="仿宋" w:cs="仿宋"/>
          <w:sz w:val="30"/>
          <w:szCs w:val="30"/>
        </w:rPr>
        <w:t>5</w:t>
      </w:r>
      <w:r>
        <w:rPr>
          <w:rFonts w:hint="eastAsia" w:ascii="仿宋" w:hAnsi="仿宋" w:eastAsia="仿宋" w:cs="仿宋"/>
          <w:sz w:val="30"/>
          <w:szCs w:val="30"/>
        </w:rPr>
        <w:t>年同期相比减少</w:t>
      </w:r>
      <w:r>
        <w:rPr>
          <w:rFonts w:ascii="仿宋" w:hAnsi="仿宋" w:eastAsia="仿宋" w:cs="仿宋"/>
          <w:sz w:val="30"/>
          <w:szCs w:val="30"/>
        </w:rPr>
        <w:t>27</w:t>
      </w:r>
      <w:r>
        <w:rPr>
          <w:rFonts w:hint="eastAsia" w:ascii="仿宋" w:hAnsi="仿宋" w:eastAsia="仿宋" w:cs="仿宋"/>
          <w:sz w:val="30"/>
          <w:szCs w:val="30"/>
        </w:rPr>
        <w:t>%。</w:t>
      </w:r>
    </w:p>
    <w:p w14:paraId="07167D6A">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－－稳步调整产业结构和加快优化能源结构。强化源头管控，严控“两高”行业产能，严格实施市场准入制度，全面开展工业污染治理，</w:t>
      </w:r>
      <w:r>
        <w:rPr>
          <w:rFonts w:hint="eastAsia" w:eastAsia="仿宋_GB2312" w:cs="仿宋_GB2312"/>
          <w:sz w:val="32"/>
          <w:szCs w:val="32"/>
        </w:rPr>
        <w:t>聚焦规模以下工业企业，</w:t>
      </w:r>
      <w:r>
        <w:rPr>
          <w:rFonts w:hint="eastAsia" w:ascii="仿宋_GB2312" w:eastAsia="仿宋_GB2312" w:cs="仿宋_GB2312"/>
          <w:sz w:val="32"/>
          <w:szCs w:val="32"/>
        </w:rPr>
        <w:t>持续开展拉网式排查，坚持以治“污”为主的原</w:t>
      </w:r>
      <w:r>
        <w:rPr>
          <w:rFonts w:hint="eastAsia" w:eastAsia="仿宋_GB2312" w:cs="仿宋_GB2312"/>
          <w:sz w:val="32"/>
          <w:szCs w:val="32"/>
        </w:rPr>
        <w:t>则，实施分类治理。</w:t>
      </w:r>
      <w:r>
        <w:rPr>
          <w:rFonts w:hint="eastAsia" w:ascii="仿宋" w:hAnsi="仿宋" w:eastAsia="仿宋" w:cs="仿宋"/>
          <w:sz w:val="32"/>
          <w:szCs w:val="32"/>
        </w:rPr>
        <w:t>按照市级要求，严防燃煤散烧，完成西安雁东供热有限公司、陕西明德集中供热有限责任公司等“煤改气”任务、燃气锅炉低氮技术改造任务和煤炭削减任务。</w:t>
      </w:r>
    </w:p>
    <w:p w14:paraId="25C71DA8">
      <w:pPr>
        <w:spacing w:line="550" w:lineRule="exact"/>
        <w:ind w:firstLine="640" w:firstLineChars="200"/>
        <w:rPr>
          <w:rFonts w:ascii="仿宋" w:hAnsi="仿宋" w:eastAsia="仿宋" w:cs="仿宋"/>
          <w:snapToGrid w:val="0"/>
          <w:kern w:val="0"/>
          <w:sz w:val="32"/>
          <w:szCs w:val="32"/>
          <w:shd w:val="clear" w:color="auto" w:fill="FFFFFF"/>
        </w:rPr>
      </w:pPr>
      <w:r>
        <w:rPr>
          <w:rFonts w:hint="eastAsia" w:ascii="仿宋" w:hAnsi="仿宋" w:eastAsia="仿宋" w:cs="仿宋"/>
          <w:sz w:val="32"/>
          <w:szCs w:val="32"/>
        </w:rPr>
        <w:t>－－全面管控面源污染。施工场地全面落实“6个100%”防治措施，辖区</w:t>
      </w:r>
      <w:r>
        <w:rPr>
          <w:rFonts w:hint="eastAsia" w:ascii="仿宋" w:hAnsi="仿宋" w:eastAsia="仿宋" w:cs="仿宋"/>
          <w:snapToGrid w:val="0"/>
          <w:kern w:val="0"/>
          <w:sz w:val="32"/>
          <w:szCs w:val="32"/>
          <w:shd w:val="clear" w:color="auto" w:fill="FFFFFF"/>
        </w:rPr>
        <w:t>具备安装视频监控设备条件工地均已完成安装；</w:t>
      </w:r>
      <w:r>
        <w:rPr>
          <w:rFonts w:hint="eastAsia" w:ascii="仿宋" w:hAnsi="仿宋" w:eastAsia="仿宋" w:cs="仿宋"/>
          <w:sz w:val="32"/>
          <w:szCs w:val="32"/>
        </w:rPr>
        <w:t>推广高压冲洗与机扫联合作业模式，</w:t>
      </w:r>
      <w:r>
        <w:rPr>
          <w:rFonts w:hint="eastAsia" w:ascii="仿宋" w:hAnsi="仿宋" w:eastAsia="仿宋" w:cs="仿宋"/>
          <w:snapToGrid w:val="0"/>
          <w:kern w:val="0"/>
          <w:sz w:val="32"/>
          <w:szCs w:val="32"/>
          <w:shd w:val="clear" w:color="auto" w:fill="FFFFFF"/>
        </w:rPr>
        <w:t>道路保洁</w:t>
      </w:r>
      <w:r>
        <w:rPr>
          <w:rFonts w:hint="eastAsia" w:ascii="仿宋" w:hAnsi="仿宋" w:eastAsia="仿宋" w:cs="仿宋"/>
          <w:sz w:val="32"/>
          <w:szCs w:val="32"/>
        </w:rPr>
        <w:t>“以克论净”</w:t>
      </w:r>
      <w:r>
        <w:rPr>
          <w:rFonts w:hint="eastAsia" w:ascii="仿宋" w:hAnsi="仿宋" w:eastAsia="仿宋" w:cs="仿宋"/>
          <w:snapToGrid w:val="0"/>
          <w:kern w:val="0"/>
          <w:sz w:val="32"/>
          <w:szCs w:val="32"/>
          <w:shd w:val="clear" w:color="auto" w:fill="FFFFFF"/>
        </w:rPr>
        <w:t>；全面规范治理露天烧烤污染，排放油烟的饮食业单位全部完成安装油烟净化装置并实现达标排放。</w:t>
      </w:r>
    </w:p>
    <w:p w14:paraId="5F5DDEAD">
      <w:pPr>
        <w:spacing w:line="550" w:lineRule="exact"/>
        <w:ind w:firstLine="640"/>
        <w:rPr>
          <w:rFonts w:ascii="仿宋" w:hAnsi="仿宋" w:eastAsia="仿宋" w:cs="仿宋"/>
          <w:sz w:val="32"/>
          <w:szCs w:val="32"/>
        </w:rPr>
      </w:pPr>
      <w:r>
        <w:rPr>
          <w:rFonts w:hint="eastAsia" w:ascii="仿宋" w:hAnsi="仿宋" w:eastAsia="仿宋" w:cs="仿宋"/>
          <w:sz w:val="32"/>
          <w:szCs w:val="32"/>
        </w:rPr>
        <w:t>－－扎实开展专项治理行动。</w:t>
      </w:r>
      <w:r>
        <w:rPr>
          <w:rFonts w:hint="eastAsia" w:ascii="仿宋_GB2312" w:eastAsia="仿宋_GB2312"/>
          <w:sz w:val="32"/>
          <w:szCs w:val="32"/>
        </w:rPr>
        <w:t>制定了辖区《挥发性有机物专项整治工作方案》和《臭氧专项整治工作方案》，督促协调各成员单位对全区涉及挥发性有机物产生的流通环节、重点行业企业、工地、餐饮单位、汽车维修企业等进行了排查，其中65家汽车维修企业完成了有机废气治理，全区25座加油站全部完成三次油气回收改造，西安天祥危险品运输有限公司的55辆油罐车已全部安装油气回收装置，全区400平方米以上的经营性餐饮企业均完成油烟治理，且均已使用净化型环保炉具和清洁能源；</w:t>
      </w:r>
      <w:r>
        <w:rPr>
          <w:rFonts w:hint="eastAsia" w:ascii="仿宋" w:hAnsi="仿宋" w:eastAsia="仿宋" w:cs="仿宋"/>
          <w:sz w:val="32"/>
          <w:szCs w:val="32"/>
        </w:rPr>
        <w:t>开展煤改洁专项行动，</w:t>
      </w:r>
      <w:r>
        <w:rPr>
          <w:rFonts w:hint="eastAsia" w:ascii="仿宋_GB2312" w:eastAsia="仿宋_GB2312" w:cs="仿宋_GB2312"/>
          <w:sz w:val="32"/>
          <w:szCs w:val="32"/>
        </w:rPr>
        <w:t>累计煤改洁</w:t>
      </w:r>
      <w:r>
        <w:rPr>
          <w:rFonts w:ascii="仿宋_GB2312" w:eastAsia="仿宋_GB2312" w:cs="仿宋_GB2312"/>
          <w:sz w:val="32"/>
          <w:szCs w:val="32"/>
        </w:rPr>
        <w:t>2198</w:t>
      </w:r>
      <w:r>
        <w:rPr>
          <w:rFonts w:hint="eastAsia" w:ascii="仿宋_GB2312" w:eastAsia="仿宋_GB2312" w:cs="仿宋_GB2312"/>
          <w:sz w:val="32"/>
          <w:szCs w:val="32"/>
        </w:rPr>
        <w:t>户；开展锅炉低氮改造行动，完成燃气锅炉低氮改造</w:t>
      </w:r>
      <w:r>
        <w:rPr>
          <w:rFonts w:ascii="仿宋_GB2312" w:eastAsia="仿宋_GB2312" w:cs="仿宋_GB2312"/>
          <w:sz w:val="32"/>
          <w:szCs w:val="32"/>
        </w:rPr>
        <w:t>273</w:t>
      </w:r>
      <w:r>
        <w:rPr>
          <w:rFonts w:hint="eastAsia" w:ascii="仿宋_GB2312" w:eastAsia="仿宋_GB2312" w:cs="仿宋_GB2312"/>
          <w:sz w:val="32"/>
          <w:szCs w:val="32"/>
        </w:rPr>
        <w:t>台；开展加油站专项整治行动，</w:t>
      </w:r>
      <w:r>
        <w:rPr>
          <w:rFonts w:ascii="仿宋_GB2312" w:hAnsi="黑体" w:eastAsia="仿宋_GB2312" w:cs="仿宋_GB2312"/>
          <w:sz w:val="32"/>
          <w:szCs w:val="32"/>
        </w:rPr>
        <w:t>16</w:t>
      </w:r>
      <w:r>
        <w:rPr>
          <w:rFonts w:hint="eastAsia" w:ascii="仿宋_GB2312" w:hAnsi="黑体" w:eastAsia="仿宋_GB2312" w:cs="仿宋_GB2312"/>
          <w:sz w:val="32"/>
          <w:szCs w:val="32"/>
        </w:rPr>
        <w:t>座年销售汽油量大于</w:t>
      </w:r>
      <w:r>
        <w:rPr>
          <w:rFonts w:ascii="仿宋_GB2312" w:hAnsi="黑体" w:eastAsia="仿宋_GB2312" w:cs="仿宋_GB2312"/>
          <w:sz w:val="32"/>
          <w:szCs w:val="32"/>
        </w:rPr>
        <w:t>5000</w:t>
      </w:r>
      <w:r>
        <w:rPr>
          <w:rFonts w:hint="eastAsia" w:ascii="仿宋_GB2312" w:hAnsi="黑体" w:eastAsia="仿宋_GB2312" w:cs="仿宋_GB2312"/>
          <w:sz w:val="32"/>
          <w:szCs w:val="32"/>
        </w:rPr>
        <w:t>吨的加油站已完成油气回收在线监测设备安装并联网，</w:t>
      </w:r>
      <w:r>
        <w:rPr>
          <w:rFonts w:ascii="仿宋_GB2312" w:hAnsi="黑体" w:eastAsia="仿宋_GB2312" w:cs="仿宋_GB2312"/>
          <w:sz w:val="32"/>
          <w:szCs w:val="32"/>
        </w:rPr>
        <w:t>23</w:t>
      </w:r>
      <w:r>
        <w:rPr>
          <w:rFonts w:hint="eastAsia" w:ascii="仿宋_GB2312" w:hAnsi="黑体" w:eastAsia="仿宋_GB2312" w:cs="仿宋_GB2312"/>
          <w:sz w:val="32"/>
          <w:szCs w:val="32"/>
        </w:rPr>
        <w:t>座加油站完成双层罐或防渗池改造建设；</w:t>
      </w:r>
      <w:r>
        <w:rPr>
          <w:rFonts w:hint="eastAsia" w:ascii="仿宋" w:hAnsi="仿宋" w:eastAsia="仿宋" w:cs="仿宋"/>
          <w:sz w:val="32"/>
          <w:szCs w:val="32"/>
        </w:rPr>
        <w:t>开展挥发性有机物企业专项执法检查，</w:t>
      </w:r>
      <w:r>
        <w:rPr>
          <w:rFonts w:ascii="仿宋_GB2312" w:eastAsia="仿宋_GB2312" w:cs="仿宋_GB2312"/>
          <w:sz w:val="32"/>
          <w:szCs w:val="32"/>
        </w:rPr>
        <w:t>133</w:t>
      </w:r>
      <w:r>
        <w:rPr>
          <w:rFonts w:hint="eastAsia" w:ascii="仿宋_GB2312" w:eastAsia="仿宋_GB2312" w:cs="仿宋_GB2312"/>
          <w:sz w:val="32"/>
          <w:szCs w:val="32"/>
        </w:rPr>
        <w:t>户汽修企业全部完成喷烤漆房深度治理改造</w:t>
      </w:r>
      <w:r>
        <w:rPr>
          <w:rFonts w:hint="eastAsia" w:ascii="仿宋_GB2312" w:hAnsi="黑体" w:eastAsia="仿宋_GB2312" w:cs="仿宋_GB2312"/>
          <w:sz w:val="32"/>
          <w:szCs w:val="32"/>
        </w:rPr>
        <w:t>及独立电表安装；</w:t>
      </w:r>
      <w:r>
        <w:rPr>
          <w:rFonts w:hint="eastAsia" w:ascii="仿宋" w:hAnsi="仿宋" w:eastAsia="仿宋" w:cs="仿宋"/>
          <w:sz w:val="32"/>
          <w:szCs w:val="32"/>
        </w:rPr>
        <w:t>开展无组织排放专项执法检查，</w:t>
      </w:r>
      <w:r>
        <w:rPr>
          <w:rFonts w:hint="eastAsia" w:ascii="仿宋_GB2312" w:hAnsi="黑体" w:eastAsia="仿宋_GB2312" w:cs="仿宋_GB2312"/>
          <w:sz w:val="32"/>
          <w:szCs w:val="32"/>
        </w:rPr>
        <w:t>建成全区建设工地扬尘监测视频监控网络，所有扬尘监测视频监控设备按要求接入区、市网络平台；开展非道路移动机械专项检查，申报登记非道路移动机械</w:t>
      </w:r>
      <w:r>
        <w:rPr>
          <w:rFonts w:ascii="仿宋_GB2312" w:hAnsi="黑体" w:eastAsia="仿宋_GB2312" w:cs="仿宋_GB2312"/>
          <w:sz w:val="32"/>
          <w:szCs w:val="32"/>
        </w:rPr>
        <w:t>1533</w:t>
      </w:r>
      <w:r>
        <w:rPr>
          <w:rFonts w:hint="eastAsia" w:ascii="仿宋_GB2312" w:hAnsi="黑体" w:eastAsia="仿宋_GB2312" w:cs="仿宋_GB2312"/>
          <w:sz w:val="32"/>
          <w:szCs w:val="32"/>
        </w:rPr>
        <w:t>台，发放环保标识</w:t>
      </w:r>
      <w:r>
        <w:rPr>
          <w:rFonts w:ascii="仿宋_GB2312" w:hAnsi="黑体" w:eastAsia="仿宋_GB2312" w:cs="仿宋_GB2312"/>
          <w:sz w:val="32"/>
          <w:szCs w:val="32"/>
        </w:rPr>
        <w:t>1014</w:t>
      </w:r>
      <w:r>
        <w:rPr>
          <w:rFonts w:hint="eastAsia" w:ascii="仿宋_GB2312" w:hAnsi="黑体" w:eastAsia="仿宋_GB2312" w:cs="仿宋_GB2312"/>
          <w:sz w:val="32"/>
          <w:szCs w:val="32"/>
        </w:rPr>
        <w:t>枚，对</w:t>
      </w:r>
      <w:r>
        <w:rPr>
          <w:rFonts w:ascii="仿宋_GB2312" w:hAnsi="黑体" w:eastAsia="仿宋_GB2312" w:cs="仿宋_GB2312"/>
          <w:sz w:val="32"/>
          <w:szCs w:val="32"/>
        </w:rPr>
        <w:t>24</w:t>
      </w:r>
      <w:r>
        <w:rPr>
          <w:rFonts w:hint="eastAsia" w:ascii="仿宋_GB2312" w:hAnsi="黑体" w:eastAsia="仿宋_GB2312" w:cs="仿宋_GB2312"/>
          <w:sz w:val="32"/>
          <w:szCs w:val="32"/>
        </w:rPr>
        <w:t>台未申报登记机械进行了处罚；全面完成我区台账内的</w:t>
      </w:r>
      <w:r>
        <w:rPr>
          <w:rFonts w:ascii="仿宋_GB2312" w:hAnsi="黑体" w:eastAsia="仿宋_GB2312" w:cs="仿宋_GB2312"/>
          <w:sz w:val="32"/>
          <w:szCs w:val="32"/>
        </w:rPr>
        <w:t>482</w:t>
      </w:r>
      <w:r>
        <w:rPr>
          <w:rFonts w:hint="eastAsia" w:ascii="仿宋_GB2312" w:hAnsi="黑体" w:eastAsia="仿宋_GB2312" w:cs="仿宋_GB2312"/>
          <w:sz w:val="32"/>
          <w:szCs w:val="32"/>
        </w:rPr>
        <w:t>户“散乱污”清零整治工作；</w:t>
      </w:r>
      <w:r>
        <w:rPr>
          <w:rFonts w:hint="eastAsia" w:ascii="仿宋" w:hAnsi="仿宋" w:eastAsia="仿宋" w:cs="仿宋"/>
          <w:sz w:val="32"/>
          <w:szCs w:val="32"/>
        </w:rPr>
        <w:t>开展机动车尾气污染整治工作，淘汰国III及以下排放标准营运柴油货车辆和“油改气”老旧燃气车辆，查处中重型柴油超限、超载货车，</w:t>
      </w:r>
      <w:r>
        <w:rPr>
          <w:rFonts w:ascii="仿宋_GB2312" w:hAnsi="仿宋_GB2312" w:eastAsia="仿宋_GB2312" w:cs="仿宋_GB2312"/>
          <w:sz w:val="32"/>
          <w:szCs w:val="32"/>
        </w:rPr>
        <w:t>检查各类机动车2678辆，查处超标车34辆</w:t>
      </w:r>
      <w:r>
        <w:rPr>
          <w:rFonts w:hint="eastAsia" w:ascii="仿宋_GB2312" w:hAnsi="仿宋_GB2312" w:eastAsia="仿宋_GB2312" w:cs="仿宋_GB2312"/>
          <w:sz w:val="32"/>
          <w:szCs w:val="32"/>
        </w:rPr>
        <w:t>，</w:t>
      </w:r>
      <w:r>
        <w:rPr>
          <w:rFonts w:hint="eastAsia" w:ascii="仿宋_GB2312" w:hAnsi="黑体" w:eastAsia="仿宋_GB2312" w:cs="仿宋_GB2312"/>
          <w:sz w:val="32"/>
          <w:szCs w:val="32"/>
        </w:rPr>
        <w:t>淘汰老旧车辆</w:t>
      </w:r>
      <w:r>
        <w:rPr>
          <w:rFonts w:ascii="仿宋_GB2312" w:hAnsi="黑体" w:eastAsia="仿宋_GB2312" w:cs="仿宋_GB2312"/>
          <w:sz w:val="32"/>
          <w:szCs w:val="32"/>
        </w:rPr>
        <w:t>1974</w:t>
      </w:r>
      <w:r>
        <w:rPr>
          <w:rFonts w:hint="eastAsia" w:ascii="仿宋_GB2312" w:hAnsi="黑体" w:eastAsia="仿宋_GB2312" w:cs="仿宋_GB2312"/>
          <w:sz w:val="32"/>
          <w:szCs w:val="32"/>
        </w:rPr>
        <w:t>辆</w:t>
      </w:r>
      <w:r>
        <w:rPr>
          <w:rFonts w:hint="eastAsia" w:ascii="仿宋" w:hAnsi="仿宋" w:eastAsia="仿宋" w:cs="仿宋"/>
          <w:sz w:val="32"/>
          <w:szCs w:val="32"/>
        </w:rPr>
        <w:t>。</w:t>
      </w:r>
    </w:p>
    <w:p w14:paraId="5F2668B9">
      <w:pPr>
        <w:adjustRightInd w:val="0"/>
        <w:spacing w:line="550" w:lineRule="exact"/>
        <w:ind w:firstLine="640" w:firstLineChars="200"/>
        <w:contextualSpacing/>
        <w:rPr>
          <w:rFonts w:ascii="仿宋" w:hAnsi="仿宋" w:eastAsia="仿宋" w:cs="仿宋"/>
          <w:sz w:val="32"/>
          <w:szCs w:val="32"/>
          <w:u w:val="single"/>
        </w:rPr>
      </w:pPr>
      <w:r>
        <w:rPr>
          <w:rFonts w:hint="eastAsia" w:ascii="仿宋" w:hAnsi="仿宋" w:eastAsia="仿宋" w:cs="仿宋"/>
          <w:sz w:val="32"/>
          <w:szCs w:val="32"/>
        </w:rPr>
        <w:t>－－大力提升固定源监管水平。加强辖区重点行业排污许可证申请与核发工作，建立管理台账，已完成国家排污许可管理名录规定的重点行业排污许可证核发；重点排污单位涉气企业完成烟气排放自动监控设施安装。</w:t>
      </w:r>
    </w:p>
    <w:p w14:paraId="773FAE18">
      <w:pPr>
        <w:adjustRightInd w:val="0"/>
        <w:spacing w:line="550" w:lineRule="exact"/>
        <w:ind w:firstLine="643" w:firstLineChars="200"/>
        <w:contextualSpacing/>
        <w:rPr>
          <w:rFonts w:ascii="仿宋" w:hAnsi="仿宋" w:eastAsia="仿宋" w:cs="仿宋"/>
          <w:b/>
          <w:bCs/>
          <w:sz w:val="32"/>
          <w:szCs w:val="32"/>
        </w:rPr>
      </w:pPr>
      <w:r>
        <w:rPr>
          <w:rFonts w:hint="eastAsia" w:ascii="仿宋" w:hAnsi="仿宋" w:eastAsia="仿宋" w:cs="仿宋"/>
          <w:b/>
          <w:bCs/>
          <w:sz w:val="32"/>
          <w:szCs w:val="32"/>
        </w:rPr>
        <w:t>3、碧水保卫战取得阶段性胜利</w:t>
      </w:r>
    </w:p>
    <w:p w14:paraId="70A6A053">
      <w:pPr>
        <w:pStyle w:val="27"/>
        <w:adjustRightInd w:val="0"/>
        <w:spacing w:after="0" w:line="550" w:lineRule="exact"/>
        <w:ind w:left="0" w:leftChars="0" w:firstLine="640"/>
        <w:contextualSpacing/>
        <w:rPr>
          <w:rFonts w:ascii="仿宋" w:hAnsi="仿宋" w:eastAsia="仿宋" w:cs="仿宋"/>
          <w:sz w:val="32"/>
          <w:szCs w:val="32"/>
        </w:rPr>
      </w:pPr>
      <w:r>
        <w:rPr>
          <w:rFonts w:hint="eastAsia" w:ascii="仿宋" w:hAnsi="仿宋" w:eastAsia="仿宋" w:cs="仿宋"/>
          <w:sz w:val="32"/>
          <w:szCs w:val="32"/>
        </w:rPr>
        <w:t>“十三五”期间，雁塔区印发了《西安市雁塔区碧水保卫战2020年工作方案》，定期组织召开推进会和调度推进会，传达中省市会议精神，通报工作进展，有序推进工作，水生态环境质量不断改善。</w:t>
      </w:r>
    </w:p>
    <w:p w14:paraId="64C9A836">
      <w:pPr>
        <w:spacing w:line="55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强化涉水企业监督检查。进一步强化对辖区涉水企业的执法检查力度，严肃查处污处设施不正常运行、超标排放等违法排污行为；加强对污水处理厂尤其是鱼化污水处理厂和临时性集装箱污水处理设施的监督检查，确保水质达标排放。</w:t>
      </w:r>
    </w:p>
    <w:p w14:paraId="4AB58ACD">
      <w:pPr>
        <w:spacing w:line="55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－－开展皂河雁塔段排污口规范设置。严格落实黑臭水体整治工作要求，不定期对皂河雁塔段进行巡查检查，对皂河雁塔段34个排污口进行了规范设置。对水质情况进行采样检测，及时掌握水质变化情况。并通过</w:t>
      </w:r>
      <w:r>
        <w:rPr>
          <w:rFonts w:hint="eastAsia" w:ascii="仿宋" w:hAnsi="仿宋" w:eastAsia="仿宋" w:cs="仿宋"/>
          <w:kern w:val="0"/>
          <w:sz w:val="32"/>
          <w:szCs w:val="32"/>
        </w:rPr>
        <w:t>在皂河雁塔段加装应急集装箱式污水处理设备40套，解决皂河雁塔段雨水口溢流污水问题，</w:t>
      </w:r>
      <w:r>
        <w:rPr>
          <w:rFonts w:hint="eastAsia" w:ascii="仿宋" w:hAnsi="仿宋" w:eastAsia="仿宋" w:cs="仿宋"/>
          <w:sz w:val="32"/>
          <w:szCs w:val="32"/>
        </w:rPr>
        <w:t>通过国家黑臭水体验收组的实地勘验和审核，达到了长制久清的目标。完成了皂河雁塔段102个雨水污水排口的影像资料采集和信息收集工作，建立了入河排口名录和信息档案。2020年皂河雁塔段四个断面监测平均值为：COD18mg/L，氨氮1.722 mg/L，溶解氧7.2 mg/L，总磷0.19 mg/L，已摆脱劣V类水质。</w:t>
      </w:r>
    </w:p>
    <w:p w14:paraId="3C2FB0D1">
      <w:pPr>
        <w:spacing w:line="55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4、稳步推进净土保卫战</w:t>
      </w:r>
    </w:p>
    <w:p w14:paraId="409762B6">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土壤防治工作扎实推进，以贯彻实施《土壤污染防治法》和《土壤污染防治行动计划》为重点，以土壤污染状况调查为抓手，制定《西安市雁塔区净土保卫战2020年工作方案》，积极协调建立重点行业污染地块名录有关工作。对照土壤污染核查清单，对辖区55家土壤污染防治企业进行全面核查，完成40家陕西省重点行业企业用地调查信息采集工作。“十三五”期间，雁塔区未发现因疑似污染地块、污染地块在开发利用不当造成不良社会影响的事件，土壤环境质量总体安全、可控。</w:t>
      </w:r>
    </w:p>
    <w:p w14:paraId="136DC302">
      <w:pPr>
        <w:widowControl/>
        <w:spacing w:line="55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5、城中村（棚户区）、老旧小区改造工作顺利进行</w:t>
      </w:r>
    </w:p>
    <w:p w14:paraId="1CF0ED7C">
      <w:pPr>
        <w:widowControl/>
        <w:spacing w:line="55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改造区域基础设施，公共服务设施得到明显改善。城中村（棚户区）、老旧小区改造项目实施的同时，同步完成了改造区域市政道路、集中供热、给排水管网、电网以及绿化等基础设施和公共服务设施的完善。城中村（棚户区）、老旧小区改造项目的实施，一方面改变了原来脏、乱、差的城市形象，另一方面，打破了棚户区原有沉寂的空间，激活了城市的社会和文化空间，实现了城市功能的复合与活力的再生。</w:t>
      </w:r>
    </w:p>
    <w:p w14:paraId="7A1E37E8">
      <w:pPr>
        <w:spacing w:line="55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6、完善城市功能，倡导绿色生活</w:t>
      </w:r>
    </w:p>
    <w:p w14:paraId="06A5CBA8">
      <w:pPr>
        <w:spacing w:line="55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提升绿化景观水平、加强绿道建设。以提升绿化景观为突破口，</w:t>
      </w:r>
      <w:bookmarkStart w:id="35" w:name="_Hlk76483351"/>
      <w:r>
        <w:rPr>
          <w:rFonts w:hint="eastAsia" w:ascii="仿宋" w:hAnsi="仿宋" w:eastAsia="仿宋" w:cs="仿宋"/>
          <w:kern w:val="0"/>
          <w:sz w:val="32"/>
          <w:szCs w:val="32"/>
        </w:rPr>
        <w:t>建设街头绿地广场、口袋公园的提升改造</w:t>
      </w:r>
      <w:bookmarkEnd w:id="35"/>
      <w:r>
        <w:rPr>
          <w:rFonts w:hint="eastAsia" w:ascii="仿宋" w:hAnsi="仿宋" w:eastAsia="仿宋" w:cs="仿宋"/>
          <w:kern w:val="0"/>
          <w:sz w:val="32"/>
          <w:szCs w:val="32"/>
        </w:rPr>
        <w:t>工作，完成城区主干道及重要节点的美化和道路街景布置。</w:t>
      </w:r>
    </w:p>
    <w:p w14:paraId="44BCE6BA">
      <w:pPr>
        <w:spacing w:line="550" w:lineRule="exact"/>
        <w:ind w:firstLine="640" w:firstLineChars="200"/>
        <w:rPr>
          <w:rFonts w:ascii="仿宋" w:hAnsi="仿宋" w:eastAsia="仿宋" w:cs="仿宋"/>
        </w:rPr>
      </w:pPr>
      <w:r>
        <w:rPr>
          <w:rFonts w:hint="eastAsia" w:ascii="仿宋" w:hAnsi="仿宋" w:eastAsia="仿宋" w:cs="仿宋"/>
          <w:kern w:val="0"/>
          <w:sz w:val="32"/>
          <w:szCs w:val="32"/>
        </w:rPr>
        <w:t>通过科学合理规划设计建筑外立面造型和色彩，积极推进屋顶绿化和垂直绿化，扎实做好植树增绿工程，提升了城市绿化景观，打造“出门见绿、移步见景”的生态城区。</w:t>
      </w:r>
    </w:p>
    <w:p w14:paraId="1B59FFD0">
      <w:pPr>
        <w:spacing w:line="55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7、环境风险得到有效管控</w:t>
      </w:r>
    </w:p>
    <w:p w14:paraId="0F09FE99">
      <w:pPr>
        <w:pStyle w:val="26"/>
        <w:spacing w:after="0" w:line="55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十三五”期间，雁塔区先后开展了年度危废申报登记及危险废物管理计划备案工作，组织进行了实验室危险废物排查和危险废物专项执法检查行动，严厉打击危险废物环境违法行为，危险废物规范化管理水平提升。</w:t>
      </w:r>
    </w:p>
    <w:p w14:paraId="6B928CDF">
      <w:pPr>
        <w:spacing w:line="55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8、不断完善网格化管理工作机制</w:t>
      </w:r>
    </w:p>
    <w:p w14:paraId="111932F4">
      <w:pPr>
        <w:spacing w:line="550" w:lineRule="exact"/>
        <w:ind w:firstLine="645"/>
        <w:rPr>
          <w:rFonts w:ascii="仿宋" w:hAnsi="仿宋" w:eastAsia="仿宋" w:cs="仿宋"/>
          <w:sz w:val="32"/>
          <w:szCs w:val="32"/>
        </w:rPr>
      </w:pPr>
      <w:r>
        <w:rPr>
          <w:rFonts w:hint="eastAsia" w:ascii="仿宋" w:hAnsi="仿宋" w:eastAsia="仿宋" w:cs="仿宋"/>
          <w:sz w:val="32"/>
          <w:szCs w:val="32"/>
        </w:rPr>
        <w:t>按照“逐级负责、重心下移，分级办理、网格联动”的原则，狠抓铁腕治霾网格化管理工作落实。专职网格员昼夜定期对原煤散烧、油烟净化设施、工地扬尘污染及汽修企业等重点污染源开展排查整治工作。建立大气环境监测体系，落实预警巡查、报警排查机制；充分发挥智慧环保网格平台效能，运用信息化手段提升工作效率。</w:t>
      </w:r>
    </w:p>
    <w:p w14:paraId="524BCF8F">
      <w:pPr>
        <w:spacing w:line="55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9、丰富多样开展环境宣传</w:t>
      </w:r>
    </w:p>
    <w:p w14:paraId="0BB1E6FE">
      <w:pPr>
        <w:spacing w:line="550" w:lineRule="exact"/>
        <w:ind w:firstLine="645"/>
        <w:rPr>
          <w:rFonts w:ascii="仿宋" w:hAnsi="仿宋" w:eastAsia="仿宋" w:cs="仿宋"/>
          <w:sz w:val="32"/>
          <w:szCs w:val="32"/>
        </w:rPr>
      </w:pPr>
      <w:r>
        <w:rPr>
          <w:rFonts w:hint="eastAsia" w:ascii="仿宋" w:hAnsi="仿宋" w:eastAsia="仿宋" w:cs="仿宋"/>
          <w:sz w:val="32"/>
          <w:szCs w:val="32"/>
        </w:rPr>
        <w:t>十三五期间，雁塔区开展了丰富多彩的环境宣传活动。以“爱我秦岭、爱我中华”、“深入治理黑臭水体”、“垃圾分类从我做起”等为宣传主题，组织开展系列宣传活动；积极利用“植树节”、“地球一小时”、“世界环境日”等各类纪念节日，及时开展生态环境保护宣传活动，通过现场讲解、发放资料、参观展板、集体活动等形式，宣传生态环境保护法律法规，倡导绿色发展方式和低碳生活理念；在全区中小学组织开展了“爱我秦岭 抒我心声”绿色征文活动，积极宣传贯彻“绿水青山就是金山银山”。共有44个学校参加，报送征文500余篇。</w:t>
      </w:r>
    </w:p>
    <w:p w14:paraId="14013C2F">
      <w:pPr>
        <w:pStyle w:val="4"/>
        <w:spacing w:line="550" w:lineRule="exact"/>
        <w:ind w:firstLine="643"/>
        <w:jc w:val="center"/>
        <w:rPr>
          <w:rFonts w:ascii="仿宋" w:hAnsi="仿宋" w:cs="仿宋"/>
          <w:sz w:val="32"/>
        </w:rPr>
      </w:pPr>
      <w:bookmarkStart w:id="36" w:name="_Toc101253360"/>
      <w:r>
        <w:rPr>
          <w:rFonts w:hint="eastAsia" w:ascii="仿宋" w:hAnsi="仿宋" w:cs="仿宋"/>
          <w:sz w:val="32"/>
        </w:rPr>
        <w:t>第二节  “十四五”生态环境保护面临的主要问题</w:t>
      </w:r>
      <w:bookmarkEnd w:id="36"/>
    </w:p>
    <w:p w14:paraId="49F95840">
      <w:pPr>
        <w:spacing w:line="550" w:lineRule="exact"/>
        <w:ind w:firstLine="716" w:firstLineChars="224"/>
        <w:rPr>
          <w:rFonts w:ascii="仿宋" w:hAnsi="仿宋" w:eastAsia="仿宋" w:cs="仿宋"/>
          <w:sz w:val="28"/>
          <w:szCs w:val="28"/>
        </w:rPr>
      </w:pPr>
      <w:r>
        <w:rPr>
          <w:rFonts w:hint="eastAsia" w:ascii="仿宋" w:hAnsi="仿宋" w:eastAsia="仿宋" w:cs="仿宋"/>
          <w:sz w:val="32"/>
          <w:szCs w:val="32"/>
        </w:rPr>
        <w:t>“十三五”以来，雁塔区环境保护工作虽然取得了一定成绩，但环境保护的力度和成效与社会公众的企盼还有较大差距，部分环境问题还没有从根本上得到解决。</w:t>
      </w:r>
    </w:p>
    <w:p w14:paraId="45B2E221">
      <w:pPr>
        <w:adjustRightInd w:val="0"/>
        <w:spacing w:line="550" w:lineRule="exact"/>
        <w:ind w:firstLine="643" w:firstLineChars="200"/>
        <w:rPr>
          <w:rFonts w:ascii="仿宋" w:hAnsi="仿宋" w:eastAsia="仿宋" w:cs="仿宋"/>
          <w:b/>
          <w:sz w:val="32"/>
          <w:szCs w:val="32"/>
        </w:rPr>
      </w:pPr>
      <w:r>
        <w:rPr>
          <w:rFonts w:hint="eastAsia" w:ascii="仿宋" w:hAnsi="仿宋" w:eastAsia="仿宋" w:cs="仿宋"/>
          <w:b/>
          <w:sz w:val="32"/>
          <w:szCs w:val="32"/>
        </w:rPr>
        <w:t>一、大气污染防治依然严峻</w:t>
      </w:r>
    </w:p>
    <w:p w14:paraId="24278B0A">
      <w:pPr>
        <w:adjustRightInd w:val="0"/>
        <w:spacing w:line="550" w:lineRule="exact"/>
        <w:ind w:firstLine="643" w:firstLineChars="200"/>
        <w:rPr>
          <w:rFonts w:ascii="仿宋" w:hAnsi="仿宋" w:eastAsia="仿宋" w:cs="仿宋"/>
          <w:b/>
          <w:sz w:val="32"/>
          <w:szCs w:val="32"/>
        </w:rPr>
      </w:pPr>
      <w:r>
        <w:rPr>
          <w:rFonts w:hint="eastAsia" w:ascii="仿宋" w:hAnsi="仿宋" w:eastAsia="仿宋" w:cs="仿宋"/>
          <w:b/>
          <w:sz w:val="32"/>
          <w:szCs w:val="32"/>
        </w:rPr>
        <w:t>1、地理环境导致外来尘影响依旧</w:t>
      </w:r>
    </w:p>
    <w:p w14:paraId="6CF69024">
      <w:pPr>
        <w:adjustRightInd w:val="0"/>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地理环境来看，西安地处关中盆地，“簸箕”型的地形，雁塔区是陕西关中渭河冲积平原的腹心地带，导致大气多处于稳定状态，加之东北风为常年主导风向，上风口又是重污染多发区域，外部污染物的输送和本地排放相叠加，易成为大面积污染物的聚集地。</w:t>
      </w:r>
    </w:p>
    <w:p w14:paraId="5B945005">
      <w:pPr>
        <w:spacing w:line="550" w:lineRule="exact"/>
        <w:ind w:firstLine="643" w:firstLineChars="200"/>
        <w:rPr>
          <w:rFonts w:ascii="仿宋" w:hAnsi="仿宋" w:eastAsia="仿宋" w:cs="仿宋"/>
          <w:b/>
          <w:sz w:val="32"/>
          <w:szCs w:val="32"/>
        </w:rPr>
      </w:pPr>
      <w:r>
        <w:rPr>
          <w:rFonts w:hint="eastAsia" w:ascii="仿宋" w:hAnsi="仿宋" w:eastAsia="仿宋" w:cs="仿宋"/>
          <w:b/>
          <w:sz w:val="32"/>
          <w:szCs w:val="32"/>
        </w:rPr>
        <w:t>2、环境空气质量提升压力大</w:t>
      </w:r>
    </w:p>
    <w:p w14:paraId="4818C5CF">
      <w:pPr>
        <w:adjustRightInd w:val="0"/>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受气候条件及辖区地理位置等因素影响，虽通过实施铁腕治霾等各项举措，空气质量得到一定改善，但大气治理难度大、任务艰巨的局面仍然存在。在机动车扬尘、机动车尾气排放的有机废气、工业源废气、施工扬尘等的共同作用下，加重了区内环境空气污染，同时也对雁塔区位于小寨的国控子站造成了巨大的压力。雁塔区空气质量管控、扬尘污染防控、重污染天气应对和机动车尾气治理等仍是今后的重点工作。</w:t>
      </w:r>
    </w:p>
    <w:p w14:paraId="3005AFB4">
      <w:pPr>
        <w:adjustRightInd w:val="0"/>
        <w:spacing w:line="550" w:lineRule="exact"/>
        <w:ind w:firstLine="643" w:firstLineChars="200"/>
        <w:rPr>
          <w:rFonts w:ascii="仿宋" w:hAnsi="仿宋" w:eastAsia="仿宋" w:cs="仿宋"/>
          <w:b/>
          <w:sz w:val="32"/>
          <w:szCs w:val="32"/>
        </w:rPr>
      </w:pPr>
      <w:r>
        <w:rPr>
          <w:rFonts w:hint="eastAsia" w:ascii="仿宋" w:hAnsi="仿宋" w:eastAsia="仿宋" w:cs="仿宋"/>
          <w:b/>
          <w:sz w:val="32"/>
          <w:szCs w:val="32"/>
        </w:rPr>
        <w:t>3、老旧小区改造、施工场地多，扬尘污染严重</w:t>
      </w:r>
    </w:p>
    <w:p w14:paraId="17BC91AA">
      <w:pPr>
        <w:adjustRightInd w:val="0"/>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随着区内开展老旧小区改造及部分施工工地建设，导致扬尘和二次颗粒物的增加，加之区内建筑林立，不利于颗粒物的扩散，在道路保洁不能及时跟进的情况下，加重区域内空气污染。</w:t>
      </w:r>
    </w:p>
    <w:p w14:paraId="5BC7B198">
      <w:pPr>
        <w:spacing w:line="550" w:lineRule="exact"/>
        <w:ind w:firstLine="643" w:firstLineChars="200"/>
        <w:rPr>
          <w:rFonts w:ascii="仿宋" w:hAnsi="仿宋" w:eastAsia="仿宋" w:cs="仿宋"/>
          <w:b/>
          <w:sz w:val="32"/>
          <w:szCs w:val="32"/>
        </w:rPr>
      </w:pPr>
      <w:r>
        <w:rPr>
          <w:rFonts w:hint="eastAsia" w:ascii="仿宋" w:hAnsi="仿宋" w:eastAsia="仿宋" w:cs="仿宋"/>
          <w:b/>
          <w:sz w:val="32"/>
          <w:szCs w:val="32"/>
        </w:rPr>
        <w:t>4、VOCs管控难度大</w:t>
      </w:r>
    </w:p>
    <w:p w14:paraId="3B77AD00">
      <w:pPr>
        <w:adjustRightInd w:val="0"/>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区内VOCs来源主要为涉VOCs排放企业。雁塔区在十三五期间已经对区内印刷企业实施了挥发性有机物减排工程，但对区内其他涉及VOCs排放的企业（例如表面涂装等）挥发性有机废气减排工程尚未实施，且区内推广使用低VOCs含量油墨或涂料主要依靠企业自主完成，进度缓慢。</w:t>
      </w:r>
    </w:p>
    <w:p w14:paraId="5E166457">
      <w:pPr>
        <w:adjustRightInd w:val="0"/>
        <w:snapToGrid w:val="0"/>
        <w:spacing w:line="550" w:lineRule="exact"/>
        <w:ind w:firstLine="643" w:firstLineChars="200"/>
        <w:rPr>
          <w:rFonts w:ascii="仿宋" w:hAnsi="仿宋" w:eastAsia="仿宋" w:cs="仿宋"/>
          <w:b/>
          <w:sz w:val="32"/>
          <w:szCs w:val="32"/>
        </w:rPr>
      </w:pPr>
      <w:r>
        <w:rPr>
          <w:rFonts w:hint="eastAsia" w:ascii="仿宋" w:hAnsi="仿宋" w:eastAsia="仿宋" w:cs="仿宋"/>
          <w:b/>
          <w:sz w:val="32"/>
          <w:szCs w:val="32"/>
        </w:rPr>
        <w:t>二、水环境问题依旧存在</w:t>
      </w:r>
    </w:p>
    <w:p w14:paraId="345557F5">
      <w:pPr>
        <w:adjustRightInd w:val="0"/>
        <w:snapToGrid w:val="0"/>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截至2020年底，皂河雁塔段四个断面的监测指标除氨氮之外，其余各项指标均可达到III类水体要求，但氨氮仍然超过省考标准。水环境问题依旧存在。</w:t>
      </w:r>
    </w:p>
    <w:p w14:paraId="3EB15D62">
      <w:pPr>
        <w:pStyle w:val="27"/>
        <w:spacing w:after="0" w:line="550" w:lineRule="exact"/>
        <w:ind w:left="0" w:leftChars="0" w:firstLine="643"/>
        <w:rPr>
          <w:rFonts w:ascii="仿宋" w:hAnsi="仿宋" w:eastAsia="仿宋" w:cs="仿宋"/>
          <w:b/>
          <w:sz w:val="32"/>
          <w:szCs w:val="32"/>
        </w:rPr>
      </w:pPr>
      <w:r>
        <w:rPr>
          <w:rFonts w:hint="eastAsia" w:ascii="仿宋" w:hAnsi="仿宋" w:eastAsia="仿宋" w:cs="仿宋"/>
          <w:b/>
          <w:sz w:val="32"/>
          <w:szCs w:val="32"/>
        </w:rPr>
        <w:t>三、城市环境噪声监管能力有待提升</w:t>
      </w:r>
    </w:p>
    <w:p w14:paraId="66A92094">
      <w:pPr>
        <w:pStyle w:val="27"/>
        <w:spacing w:after="0" w:line="550" w:lineRule="exact"/>
        <w:ind w:left="0" w:leftChars="0" w:firstLine="640"/>
        <w:rPr>
          <w:rFonts w:ascii="仿宋" w:hAnsi="仿宋" w:eastAsia="仿宋" w:cs="仿宋"/>
          <w:sz w:val="32"/>
          <w:szCs w:val="32"/>
        </w:rPr>
      </w:pPr>
      <w:r>
        <w:rPr>
          <w:rFonts w:hint="eastAsia" w:ascii="仿宋" w:hAnsi="仿宋" w:eastAsia="仿宋" w:cs="仿宋"/>
          <w:sz w:val="32"/>
          <w:szCs w:val="32"/>
        </w:rPr>
        <w:t>由于城市建设不断加快、机动车保有量飞速增长，雁塔区环境噪声监管仍任重而道远。</w:t>
      </w:r>
      <w:bookmarkStart w:id="37" w:name="_Toc25022"/>
      <w:bookmarkStart w:id="38" w:name="_Toc2542"/>
      <w:bookmarkStart w:id="39" w:name="_Toc457484784"/>
      <w:bookmarkStart w:id="40" w:name="_Toc23025"/>
      <w:bookmarkStart w:id="41" w:name="_Toc9519"/>
      <w:bookmarkStart w:id="42" w:name="_Toc12695"/>
      <w:bookmarkStart w:id="43" w:name="_Toc703"/>
      <w:bookmarkStart w:id="44" w:name="_Toc14703"/>
      <w:bookmarkStart w:id="45" w:name="_Toc6566"/>
      <w:bookmarkStart w:id="46" w:name="_Toc466886011"/>
    </w:p>
    <w:p w14:paraId="22C8A95A">
      <w:pPr>
        <w:pStyle w:val="4"/>
        <w:adjustRightInd w:val="0"/>
        <w:snapToGrid w:val="0"/>
        <w:spacing w:line="550" w:lineRule="exact"/>
        <w:ind w:firstLine="0" w:firstLineChars="0"/>
        <w:jc w:val="center"/>
        <w:rPr>
          <w:rFonts w:ascii="仿宋" w:hAnsi="仿宋" w:cs="仿宋"/>
          <w:sz w:val="32"/>
        </w:rPr>
      </w:pPr>
      <w:bookmarkStart w:id="47" w:name="_Toc101253361"/>
      <w:r>
        <w:rPr>
          <w:rFonts w:hint="eastAsia" w:ascii="仿宋" w:hAnsi="仿宋" w:cs="仿宋"/>
          <w:sz w:val="32"/>
        </w:rPr>
        <w:t>第三节  “十四五”生态环境保护面临的机遇和挑战</w:t>
      </w:r>
      <w:bookmarkEnd w:id="37"/>
      <w:bookmarkEnd w:id="38"/>
      <w:bookmarkEnd w:id="39"/>
      <w:bookmarkEnd w:id="40"/>
      <w:bookmarkEnd w:id="41"/>
      <w:bookmarkEnd w:id="42"/>
      <w:bookmarkEnd w:id="43"/>
      <w:bookmarkEnd w:id="44"/>
      <w:bookmarkEnd w:id="45"/>
      <w:bookmarkEnd w:id="46"/>
      <w:bookmarkEnd w:id="47"/>
    </w:p>
    <w:p w14:paraId="40A3EE8B">
      <w:pPr>
        <w:spacing w:line="550" w:lineRule="exact"/>
        <w:ind w:firstLine="643" w:firstLineChars="200"/>
        <w:rPr>
          <w:rFonts w:ascii="仿宋" w:hAnsi="仿宋" w:eastAsia="仿宋" w:cs="仿宋"/>
          <w:b/>
          <w:sz w:val="32"/>
          <w:szCs w:val="32"/>
        </w:rPr>
      </w:pPr>
      <w:bookmarkStart w:id="48" w:name="_Toc20611"/>
      <w:bookmarkStart w:id="49" w:name="_Toc432766418"/>
      <w:bookmarkStart w:id="50" w:name="_Toc457484785"/>
      <w:bookmarkStart w:id="51" w:name="_Toc30699"/>
      <w:bookmarkStart w:id="52" w:name="_Toc466886012"/>
      <w:bookmarkStart w:id="53" w:name="_Toc29717"/>
      <w:bookmarkStart w:id="54" w:name="_Toc19311"/>
      <w:bookmarkStart w:id="55" w:name="_Toc8446"/>
      <w:bookmarkStart w:id="56" w:name="_Toc432774314"/>
      <w:bookmarkStart w:id="57" w:name="_Toc12415"/>
      <w:bookmarkStart w:id="58" w:name="_Toc1592"/>
      <w:bookmarkStart w:id="59" w:name="_Toc432767613"/>
      <w:bookmarkStart w:id="60" w:name="_Toc5452"/>
      <w:bookmarkStart w:id="61" w:name="_Toc4005"/>
      <w:r>
        <w:rPr>
          <w:rFonts w:hint="eastAsia" w:ascii="仿宋" w:hAnsi="仿宋" w:eastAsia="仿宋" w:cs="仿宋"/>
          <w:b/>
          <w:sz w:val="32"/>
          <w:szCs w:val="32"/>
        </w:rPr>
        <w:t>一、面临的机遇</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FBC7D5D">
      <w:pPr>
        <w:adjustRightInd w:val="0"/>
        <w:spacing w:line="550" w:lineRule="exact"/>
        <w:ind w:firstLine="640" w:firstLineChars="200"/>
        <w:rPr>
          <w:rFonts w:ascii="仿宋" w:hAnsi="仿宋" w:eastAsia="仿宋" w:cs="仿宋"/>
          <w:spacing w:val="15"/>
          <w:sz w:val="32"/>
          <w:szCs w:val="32"/>
          <w:shd w:val="clear" w:color="auto" w:fill="FFFFFF"/>
        </w:rPr>
      </w:pPr>
      <w:r>
        <w:rPr>
          <w:rFonts w:hint="eastAsia" w:ascii="仿宋" w:hAnsi="仿宋" w:eastAsia="仿宋" w:cs="仿宋"/>
          <w:sz w:val="32"/>
          <w:szCs w:val="32"/>
        </w:rPr>
        <w:t>－－</w:t>
      </w:r>
      <w:r>
        <w:rPr>
          <w:rFonts w:hint="eastAsia" w:ascii="仿宋" w:hAnsi="仿宋" w:eastAsia="仿宋" w:cs="仿宋"/>
          <w:b/>
          <w:sz w:val="32"/>
          <w:szCs w:val="32"/>
        </w:rPr>
        <w:t>社会主义现代化进程的重要时期。</w:t>
      </w:r>
      <w:r>
        <w:rPr>
          <w:rFonts w:hint="eastAsia" w:ascii="仿宋" w:hAnsi="仿宋" w:eastAsia="仿宋" w:cs="仿宋"/>
          <w:sz w:val="32"/>
          <w:szCs w:val="32"/>
        </w:rPr>
        <w:t>十四五时期，是“两个一百年”奋斗目标的历史交汇期——第一个百年奋斗目标要实现，第二个百年奋斗目标要开篇。把握好这个历史交汇期，必须有新的发展思维、思路和战略，这样才能决胜全面建成小康社会，又乘势而上，为开启全面建设社会主义现代化国家新征程开好头、布好局。</w:t>
      </w:r>
    </w:p>
    <w:p w14:paraId="5476F168">
      <w:pPr>
        <w:adjustRightInd w:val="0"/>
        <w:snapToGrid w:val="0"/>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sz w:val="32"/>
          <w:szCs w:val="32"/>
        </w:rPr>
        <w:t>生态文明建设成为国家战略</w:t>
      </w:r>
      <w:r>
        <w:rPr>
          <w:rFonts w:hint="eastAsia" w:ascii="仿宋" w:hAnsi="仿宋" w:eastAsia="仿宋" w:cs="仿宋"/>
          <w:sz w:val="32"/>
          <w:szCs w:val="32"/>
        </w:rPr>
        <w:t>。</w:t>
      </w:r>
      <w:r>
        <w:rPr>
          <w:rFonts w:hint="eastAsia" w:ascii="仿宋" w:hAnsi="仿宋" w:eastAsia="仿宋" w:cs="仿宋"/>
          <w:kern w:val="0"/>
          <w:sz w:val="32"/>
          <w:szCs w:val="32"/>
        </w:rPr>
        <w:t>生态文明建设是党的执政理念和国家建设方略的重要组成部分，其战略性地位和基础性作用日益凸显。</w:t>
      </w:r>
      <w:bookmarkStart w:id="318" w:name="_GoBack"/>
      <w:bookmarkEnd w:id="318"/>
      <w:r>
        <w:rPr>
          <w:rFonts w:hint="eastAsia" w:ascii="仿宋" w:hAnsi="仿宋" w:eastAsia="仿宋" w:cs="仿宋"/>
          <w:sz w:val="32"/>
          <w:szCs w:val="32"/>
        </w:rPr>
        <w:t>党的十九大把“坚持人与自然和谐共生”作为新时代坚持和发展中国特色社会主义的基本方略之一，为未来中国的生态文明建设和绿色发展指明了方向、规划了路线。</w:t>
      </w:r>
    </w:p>
    <w:p w14:paraId="6FFC2F57">
      <w:pPr>
        <w:adjustRightInd w:val="0"/>
        <w:snapToGrid w:val="0"/>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sz w:val="32"/>
          <w:szCs w:val="32"/>
        </w:rPr>
        <w:t>“一带一路”倡议全面推进</w:t>
      </w:r>
      <w:r>
        <w:rPr>
          <w:rFonts w:hint="eastAsia" w:ascii="仿宋" w:hAnsi="仿宋" w:eastAsia="仿宋" w:cs="仿宋"/>
          <w:sz w:val="32"/>
          <w:szCs w:val="32"/>
        </w:rPr>
        <w:t>。</w:t>
      </w:r>
      <w:r>
        <w:rPr>
          <w:rFonts w:eastAsia="仿宋"/>
          <w:sz w:val="32"/>
          <w:szCs w:val="32"/>
        </w:rPr>
        <w:t>当今世界正逢绿色发展的新时代，陕西作为建设丝绸之路经济带的桥头堡，利用好“一带一路”创造的新机会、搭建的新平台，助力 “一带一路”生态文明建设，推动生态环境建设和绿色发展。</w:t>
      </w:r>
    </w:p>
    <w:p w14:paraId="1C818520">
      <w:pPr>
        <w:adjustRightInd w:val="0"/>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kern w:val="0"/>
          <w:sz w:val="32"/>
          <w:szCs w:val="32"/>
        </w:rPr>
        <w:t>全面深化改革引领生态文明制度创新。</w:t>
      </w:r>
      <w:r>
        <w:rPr>
          <w:rFonts w:hint="eastAsia" w:ascii="仿宋" w:hAnsi="仿宋" w:eastAsia="仿宋" w:cs="仿宋"/>
          <w:sz w:val="32"/>
          <w:szCs w:val="32"/>
        </w:rPr>
        <w:t>党的十九大把“坚持人与自然和谐共生”作为新时代坚持和发展中国特色社会主义的基本方略之一，为未来中国的生态文明建设和绿色发展指明了方向、规划了路线。党中央和国务院对全面加强生态环境保护、打好污染防治攻坚战作出重大决策部署，为建设生态文明、建设美丽中国指明了前进方向。</w:t>
      </w:r>
    </w:p>
    <w:p w14:paraId="77C6AC68">
      <w:pPr>
        <w:spacing w:line="550" w:lineRule="exact"/>
        <w:ind w:firstLine="643" w:firstLineChars="200"/>
        <w:rPr>
          <w:rFonts w:ascii="仿宋" w:hAnsi="仿宋" w:eastAsia="仿宋" w:cs="仿宋"/>
          <w:b/>
          <w:sz w:val="32"/>
          <w:szCs w:val="32"/>
        </w:rPr>
      </w:pPr>
      <w:bookmarkStart w:id="62" w:name="_Toc457484786"/>
      <w:bookmarkStart w:id="63" w:name="_Toc20502"/>
      <w:bookmarkStart w:id="64" w:name="_Toc432766419"/>
      <w:bookmarkStart w:id="65" w:name="_Toc29844"/>
      <w:bookmarkStart w:id="66" w:name="_Toc405"/>
      <w:bookmarkStart w:id="67" w:name="_Toc29539"/>
      <w:bookmarkStart w:id="68" w:name="_Toc466886013"/>
      <w:bookmarkStart w:id="69" w:name="_Toc432774315"/>
      <w:bookmarkStart w:id="70" w:name="_Toc432767614"/>
      <w:bookmarkStart w:id="71" w:name="_Toc20036"/>
      <w:bookmarkStart w:id="72" w:name="_Toc28653"/>
      <w:bookmarkStart w:id="73" w:name="_Toc29707"/>
      <w:bookmarkStart w:id="74" w:name="_Toc21863"/>
      <w:bookmarkStart w:id="75" w:name="_Toc20224"/>
      <w:r>
        <w:rPr>
          <w:rFonts w:hint="eastAsia" w:ascii="仿宋" w:hAnsi="仿宋" w:eastAsia="仿宋" w:cs="仿宋"/>
          <w:b/>
          <w:sz w:val="32"/>
          <w:szCs w:val="32"/>
        </w:rPr>
        <w:t>二、面临的挑战</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74A1D82">
      <w:pPr>
        <w:adjustRightInd w:val="0"/>
        <w:spacing w:line="550" w:lineRule="exact"/>
        <w:ind w:firstLine="640" w:firstLineChars="200"/>
        <w:rPr>
          <w:rFonts w:ascii="仿宋" w:hAnsi="仿宋" w:eastAsia="仿宋" w:cs="仿宋"/>
          <w:b/>
          <w:bCs/>
          <w:sz w:val="32"/>
          <w:szCs w:val="32"/>
        </w:rPr>
      </w:pPr>
      <w:r>
        <w:rPr>
          <w:rFonts w:hint="eastAsia" w:ascii="仿宋" w:hAnsi="仿宋" w:eastAsia="仿宋" w:cs="仿宋"/>
          <w:sz w:val="32"/>
          <w:szCs w:val="32"/>
        </w:rPr>
        <w:t>－－</w:t>
      </w:r>
      <w:r>
        <w:rPr>
          <w:rFonts w:hint="eastAsia" w:ascii="仿宋" w:hAnsi="仿宋" w:eastAsia="仿宋" w:cs="仿宋"/>
          <w:b/>
          <w:sz w:val="32"/>
          <w:szCs w:val="32"/>
        </w:rPr>
        <w:t>传统产业亟需绿色低碳转型</w:t>
      </w:r>
      <w:r>
        <w:rPr>
          <w:rFonts w:hint="eastAsia" w:ascii="仿宋" w:hAnsi="仿宋" w:eastAsia="仿宋" w:cs="仿宋"/>
          <w:sz w:val="32"/>
          <w:szCs w:val="32"/>
        </w:rPr>
        <w:t>。雁塔区经济高速发展过程中，经济增长以量的扩张为主，产业结构中二三产业结构不合理，高新技术产业和环保产业等战略新兴产业尚未形成规模效应，科教、军工、人才资源优势远未得到充分发挥，科学技术成果转化率还维持在低水平，区域环境风险较高。</w:t>
      </w:r>
    </w:p>
    <w:p w14:paraId="06D2A133">
      <w:pPr>
        <w:adjustRightInd w:val="0"/>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bCs/>
          <w:sz w:val="32"/>
          <w:szCs w:val="32"/>
        </w:rPr>
        <w:t>环境治理改善压力大。</w:t>
      </w:r>
      <w:r>
        <w:rPr>
          <w:rFonts w:hint="eastAsia" w:ascii="仿宋" w:hAnsi="仿宋" w:eastAsia="仿宋" w:cs="仿宋"/>
          <w:sz w:val="32"/>
          <w:szCs w:val="32"/>
        </w:rPr>
        <w:t>随着辖区经济总量持续增加，环境承载能力不足的问题越来越突出，减排压力明显加大，完成四项污染减排的约束性指标存在很大困难，特别是大气污染防治方面，防治力度有待进一步加大。</w:t>
      </w:r>
    </w:p>
    <w:p w14:paraId="7EFACDAB">
      <w:pPr>
        <w:adjustRightInd w:val="0"/>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bCs/>
          <w:sz w:val="32"/>
          <w:szCs w:val="32"/>
        </w:rPr>
        <w:t>生态文明制度创新需稳步推进。</w:t>
      </w:r>
      <w:r>
        <w:rPr>
          <w:rFonts w:hint="eastAsia" w:ascii="仿宋" w:hAnsi="仿宋" w:eastAsia="仿宋" w:cs="仿宋"/>
          <w:sz w:val="32"/>
          <w:szCs w:val="32"/>
        </w:rPr>
        <w:t>生态文明制度创新是决定生态文明探索成败的关键，推进生态文明建设示范创建，必须以改革创新为动力，搞好顶层设计，建立系统的生态文明制度体系。在推进生态文明探索的过程中，解决好跨行政区和跨部门协作、从制度上统筹自然资源配置、在环境管理中加大市场化手段等等都是挑战。</w:t>
      </w:r>
    </w:p>
    <w:p w14:paraId="256075DC">
      <w:pPr>
        <w:pStyle w:val="3"/>
        <w:spacing w:before="0" w:after="0" w:line="560" w:lineRule="exact"/>
        <w:contextualSpacing/>
        <w:jc w:val="center"/>
        <w:rPr>
          <w:rFonts w:ascii="仿宋" w:hAnsi="仿宋" w:eastAsia="仿宋" w:cs="仿宋"/>
          <w:bCs w:val="0"/>
          <w:sz w:val="32"/>
          <w:szCs w:val="32"/>
        </w:rPr>
      </w:pPr>
      <w:r>
        <w:rPr>
          <w:rFonts w:hint="eastAsia" w:ascii="仿宋" w:hAnsi="仿宋" w:eastAsia="仿宋" w:cs="仿宋"/>
          <w:b w:val="0"/>
          <w:sz w:val="32"/>
          <w:szCs w:val="32"/>
        </w:rPr>
        <w:br w:type="page"/>
      </w:r>
      <w:bookmarkStart w:id="76" w:name="_Toc15598"/>
      <w:bookmarkStart w:id="77" w:name="_Toc11434"/>
      <w:bookmarkStart w:id="78" w:name="_Toc6962"/>
      <w:bookmarkStart w:id="79" w:name="_Toc3756"/>
      <w:bookmarkStart w:id="80" w:name="_Toc28597"/>
      <w:bookmarkStart w:id="81" w:name="_Toc6940"/>
      <w:bookmarkStart w:id="82" w:name="_Toc466886014"/>
      <w:bookmarkStart w:id="83" w:name="_Toc101253362"/>
      <w:bookmarkStart w:id="84" w:name="_Toc12502"/>
      <w:bookmarkStart w:id="85" w:name="_Toc457484787"/>
      <w:bookmarkStart w:id="86" w:name="_Toc18533"/>
      <w:r>
        <w:rPr>
          <w:rFonts w:hint="eastAsia" w:ascii="仿宋" w:hAnsi="仿宋" w:eastAsia="仿宋" w:cs="仿宋"/>
          <w:bCs w:val="0"/>
          <w:sz w:val="32"/>
          <w:szCs w:val="32"/>
        </w:rPr>
        <w:t>第二章  规划方针与目标</w:t>
      </w:r>
      <w:bookmarkEnd w:id="76"/>
      <w:bookmarkEnd w:id="77"/>
      <w:bookmarkEnd w:id="78"/>
      <w:bookmarkEnd w:id="79"/>
      <w:bookmarkEnd w:id="80"/>
      <w:bookmarkEnd w:id="81"/>
      <w:bookmarkEnd w:id="82"/>
      <w:bookmarkEnd w:id="83"/>
      <w:bookmarkEnd w:id="84"/>
      <w:bookmarkEnd w:id="85"/>
      <w:bookmarkEnd w:id="86"/>
    </w:p>
    <w:p w14:paraId="537EA936">
      <w:pPr>
        <w:pStyle w:val="4"/>
        <w:adjustRightInd w:val="0"/>
        <w:spacing w:line="560" w:lineRule="exact"/>
        <w:ind w:firstLine="0" w:firstLineChars="0"/>
        <w:jc w:val="center"/>
        <w:rPr>
          <w:rFonts w:ascii="仿宋" w:hAnsi="仿宋" w:cs="仿宋"/>
          <w:sz w:val="32"/>
        </w:rPr>
      </w:pPr>
      <w:bookmarkStart w:id="87" w:name="_Toc457484788"/>
      <w:bookmarkStart w:id="88" w:name="_Toc1808"/>
      <w:bookmarkStart w:id="89" w:name="_Toc25290"/>
      <w:bookmarkStart w:id="90" w:name="_Toc101253363"/>
      <w:bookmarkStart w:id="91" w:name="_Toc466886015"/>
      <w:bookmarkStart w:id="92" w:name="_Toc28714"/>
      <w:bookmarkStart w:id="93" w:name="_Toc28492"/>
      <w:bookmarkStart w:id="94" w:name="_Toc6668"/>
      <w:bookmarkStart w:id="95" w:name="_Toc2065"/>
      <w:bookmarkStart w:id="96" w:name="_Toc16723"/>
      <w:bookmarkStart w:id="97" w:name="_Toc32475"/>
      <w:r>
        <w:rPr>
          <w:rFonts w:hint="eastAsia" w:ascii="仿宋" w:hAnsi="仿宋" w:cs="仿宋"/>
          <w:sz w:val="32"/>
        </w:rPr>
        <w:t>第一节  指导思想</w:t>
      </w:r>
      <w:bookmarkEnd w:id="87"/>
      <w:bookmarkEnd w:id="88"/>
      <w:bookmarkEnd w:id="89"/>
      <w:bookmarkEnd w:id="90"/>
      <w:bookmarkEnd w:id="91"/>
      <w:bookmarkEnd w:id="92"/>
      <w:bookmarkEnd w:id="93"/>
      <w:bookmarkEnd w:id="94"/>
      <w:bookmarkEnd w:id="95"/>
      <w:bookmarkEnd w:id="96"/>
      <w:bookmarkEnd w:id="97"/>
    </w:p>
    <w:p w14:paraId="3251D69B">
      <w:pPr>
        <w:adjustRightInd w:val="0"/>
        <w:spacing w:before="100" w:beforeAutospacing="1" w:after="100" w:afterAutospacing="1"/>
        <w:ind w:firstLine="640" w:firstLineChars="200"/>
        <w:contextualSpacing/>
        <w:rPr>
          <w:rFonts w:ascii="仿宋" w:hAnsi="仿宋" w:eastAsia="仿宋" w:cs="仿宋"/>
          <w:sz w:val="32"/>
          <w:szCs w:val="32"/>
        </w:rPr>
      </w:pPr>
      <w:r>
        <w:rPr>
          <w:rFonts w:hint="eastAsia" w:ascii="仿宋" w:hAnsi="仿宋" w:eastAsia="仿宋" w:cs="仿宋"/>
          <w:sz w:val="32"/>
          <w:szCs w:val="32"/>
        </w:rPr>
        <w:t>以习近平新时代中国特色社会主义思想为指导，全面贯彻党的十九大和十九届二中、三中、四中、五中、六中全会精神，深入贯彻习近平生态文明思想，统筹推进“五位一体”总体布局，协调推进“四个全面”战略布局，紧扣追赶超越定位，贯通落实“五项要求”“五个扎实”，深入践行绿色发展理念，推进高质量发展与高水平生态环境保护相协调，以改善生态环境质量为核心，以生态环境治理体系和治理能力现代化为支撑，坚持“党政同责，一岗双责”，围绕“提气、降碳、强生态，增水、固土、防风险”，深入打好污染防治攻坚战，坚持改善生态环境质量，构建人与自然和谐发展的生态雁塔新格局。</w:t>
      </w:r>
    </w:p>
    <w:p w14:paraId="40695AE2">
      <w:pPr>
        <w:pStyle w:val="4"/>
        <w:adjustRightInd w:val="0"/>
        <w:spacing w:before="100" w:beforeAutospacing="1" w:after="100" w:afterAutospacing="1" w:line="560" w:lineRule="exact"/>
        <w:ind w:firstLine="0" w:firstLineChars="0"/>
        <w:contextualSpacing/>
        <w:jc w:val="center"/>
        <w:rPr>
          <w:rFonts w:ascii="仿宋" w:hAnsi="仿宋" w:cs="仿宋"/>
          <w:sz w:val="32"/>
        </w:rPr>
      </w:pPr>
      <w:r>
        <w:rPr>
          <w:rFonts w:hint="eastAsia" w:ascii="仿宋" w:hAnsi="仿宋" w:cs="仿宋"/>
          <w:sz w:val="32"/>
        </w:rPr>
        <w:t>第二节  规划范围及时限</w:t>
      </w:r>
    </w:p>
    <w:p w14:paraId="57B08068">
      <w:pPr>
        <w:adjustRightInd w:val="0"/>
        <w:snapToGrid w:val="0"/>
        <w:spacing w:before="100" w:beforeAutospacing="1" w:after="100" w:afterAutospacing="1"/>
        <w:ind w:firstLine="640" w:firstLineChars="200"/>
        <w:contextualSpacing/>
        <w:rPr>
          <w:rFonts w:eastAsia="仿宋"/>
          <w:sz w:val="32"/>
          <w:szCs w:val="32"/>
        </w:rPr>
      </w:pPr>
      <w:r>
        <w:rPr>
          <w:rFonts w:eastAsia="仿宋"/>
          <w:sz w:val="32"/>
          <w:szCs w:val="32"/>
        </w:rPr>
        <w:t>规划范围</w:t>
      </w:r>
      <w:r>
        <w:rPr>
          <w:rFonts w:hint="eastAsia" w:eastAsia="仿宋"/>
          <w:sz w:val="32"/>
          <w:szCs w:val="32"/>
        </w:rPr>
        <w:t>：雁塔</w:t>
      </w:r>
      <w:r>
        <w:rPr>
          <w:rFonts w:eastAsia="仿宋"/>
          <w:sz w:val="32"/>
          <w:szCs w:val="32"/>
        </w:rPr>
        <w:t>区行政管辖范围，包括</w:t>
      </w:r>
      <w:r>
        <w:rPr>
          <w:rFonts w:hint="eastAsia" w:ascii="仿宋" w:hAnsi="仿宋" w:eastAsia="仿宋" w:cs="仿宋"/>
          <w:sz w:val="32"/>
          <w:szCs w:val="32"/>
        </w:rPr>
        <w:t>142个社区、45个行政村，户籍人口129.9万人，实有人口194.6万人</w:t>
      </w:r>
      <w:r>
        <w:rPr>
          <w:rFonts w:eastAsia="仿宋"/>
          <w:sz w:val="32"/>
          <w:szCs w:val="32"/>
        </w:rPr>
        <w:t>。</w:t>
      </w:r>
    </w:p>
    <w:p w14:paraId="4FD38B8B">
      <w:pPr>
        <w:adjustRightInd w:val="0"/>
        <w:snapToGrid w:val="0"/>
        <w:spacing w:before="100" w:beforeAutospacing="1" w:after="100" w:afterAutospacing="1"/>
        <w:ind w:firstLine="640" w:firstLineChars="200"/>
        <w:contextualSpacing/>
      </w:pPr>
      <w:r>
        <w:rPr>
          <w:rFonts w:hint="eastAsia" w:ascii="仿宋" w:hAnsi="仿宋" w:eastAsia="仿宋" w:cs="仿宋"/>
          <w:kern w:val="0"/>
          <w:sz w:val="32"/>
          <w:szCs w:val="32"/>
        </w:rPr>
        <w:t>规划时限：“十四五”规划年限为2021年到2025年，规划基准年为2020年。</w:t>
      </w:r>
    </w:p>
    <w:p w14:paraId="0517C441">
      <w:pPr>
        <w:pStyle w:val="4"/>
        <w:adjustRightInd w:val="0"/>
        <w:spacing w:line="560" w:lineRule="exact"/>
        <w:ind w:firstLine="0" w:firstLineChars="0"/>
        <w:jc w:val="center"/>
        <w:rPr>
          <w:rFonts w:ascii="仿宋" w:hAnsi="仿宋" w:cs="仿宋"/>
          <w:sz w:val="32"/>
        </w:rPr>
      </w:pPr>
      <w:bookmarkStart w:id="98" w:name="_Toc18889"/>
      <w:bookmarkStart w:id="99" w:name="_Toc101253364"/>
      <w:bookmarkStart w:id="100" w:name="_Toc24466"/>
      <w:bookmarkStart w:id="101" w:name="_Toc2310"/>
      <w:bookmarkStart w:id="102" w:name="_Toc7244"/>
      <w:bookmarkStart w:id="103" w:name="_Toc466886016"/>
      <w:bookmarkStart w:id="104" w:name="_Toc15937"/>
      <w:bookmarkStart w:id="105" w:name="_Toc6577"/>
      <w:bookmarkStart w:id="106" w:name="_Toc1264"/>
      <w:bookmarkStart w:id="107" w:name="_Toc457484789"/>
      <w:bookmarkStart w:id="108" w:name="_Toc3444"/>
      <w:r>
        <w:rPr>
          <w:rFonts w:hint="eastAsia" w:ascii="仿宋" w:hAnsi="仿宋" w:cs="仿宋"/>
          <w:sz w:val="32"/>
        </w:rPr>
        <w:t>第三节  规划原则</w:t>
      </w:r>
      <w:bookmarkEnd w:id="98"/>
      <w:bookmarkEnd w:id="99"/>
      <w:bookmarkEnd w:id="100"/>
      <w:bookmarkEnd w:id="101"/>
      <w:bookmarkEnd w:id="102"/>
      <w:bookmarkEnd w:id="103"/>
      <w:bookmarkEnd w:id="104"/>
      <w:bookmarkEnd w:id="105"/>
      <w:bookmarkEnd w:id="106"/>
      <w:bookmarkEnd w:id="107"/>
      <w:bookmarkEnd w:id="108"/>
    </w:p>
    <w:p w14:paraId="4BEB646A">
      <w:pPr>
        <w:adjustRightInd w:val="0"/>
        <w:ind w:firstLine="643" w:firstLineChars="200"/>
        <w:rPr>
          <w:rFonts w:ascii="仿宋" w:hAnsi="仿宋" w:eastAsia="仿宋" w:cs="仿宋"/>
          <w:sz w:val="32"/>
          <w:szCs w:val="32"/>
        </w:rPr>
      </w:pPr>
      <w:bookmarkStart w:id="109" w:name="_Toc432765764"/>
      <w:r>
        <w:rPr>
          <w:rFonts w:hint="eastAsia" w:ascii="仿宋" w:hAnsi="仿宋" w:eastAsia="仿宋" w:cs="仿宋"/>
          <w:b/>
          <w:sz w:val="32"/>
          <w:szCs w:val="32"/>
        </w:rPr>
        <w:t>坚持</w:t>
      </w:r>
      <w:bookmarkEnd w:id="109"/>
      <w:r>
        <w:rPr>
          <w:rFonts w:hint="eastAsia" w:ascii="仿宋" w:hAnsi="仿宋" w:eastAsia="仿宋" w:cs="仿宋"/>
          <w:b/>
          <w:sz w:val="32"/>
          <w:szCs w:val="32"/>
        </w:rPr>
        <w:t>生态优先、绿色发展</w:t>
      </w:r>
      <w:r>
        <w:rPr>
          <w:rFonts w:hint="eastAsia" w:ascii="仿宋" w:hAnsi="仿宋" w:eastAsia="仿宋" w:cs="仿宋"/>
          <w:sz w:val="32"/>
          <w:szCs w:val="32"/>
        </w:rPr>
        <w:t>。坚持人与自然和谐共生，突出生态优先、绿色发展，以碳达峰、碳中和目标为引领，落实“三线一单”制度，强化环评源头预防作用，健全排污许可制度，强化绿色发展机制，推动发展方式转变，促进经济社会发展和生态环境保护相协调，以高水平保护促进经济高质量发展，形成节约资源和保护生态环境的生产生活方式。</w:t>
      </w:r>
    </w:p>
    <w:p w14:paraId="45772E36">
      <w:pPr>
        <w:adjustRightInd w:val="0"/>
        <w:ind w:firstLine="643" w:firstLineChars="200"/>
        <w:rPr>
          <w:rFonts w:ascii="仿宋" w:hAnsi="仿宋" w:eastAsia="仿宋" w:cs="仿宋"/>
          <w:sz w:val="32"/>
          <w:szCs w:val="32"/>
        </w:rPr>
      </w:pPr>
      <w:r>
        <w:rPr>
          <w:rFonts w:hint="eastAsia" w:ascii="仿宋" w:hAnsi="仿宋" w:eastAsia="仿宋" w:cs="仿宋"/>
          <w:b/>
          <w:sz w:val="32"/>
          <w:szCs w:val="32"/>
        </w:rPr>
        <w:t>坚持质量核心，强化协同</w:t>
      </w:r>
      <w:r>
        <w:rPr>
          <w:rFonts w:hint="eastAsia" w:ascii="仿宋" w:hAnsi="仿宋" w:eastAsia="仿宋" w:cs="仿宋"/>
          <w:sz w:val="32"/>
          <w:szCs w:val="32"/>
        </w:rPr>
        <w:t>。坚持以改善生态环境质量为核心，强化生态环境统筹保护和协同治理，生态保护修复与环境治理相统筹，预防和治理结合，减污和降碳并重，推动生态环境源头治理、系统治理、整体治理，实现改善环境质量从注重末端治理向更加注重源头预防有效传导。</w:t>
      </w:r>
    </w:p>
    <w:p w14:paraId="068AAC12">
      <w:pPr>
        <w:pStyle w:val="26"/>
        <w:spacing w:line="56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坚持人民至上、造福人民</w:t>
      </w:r>
      <w:r>
        <w:rPr>
          <w:rFonts w:hint="eastAsia" w:ascii="仿宋" w:hAnsi="仿宋" w:eastAsia="仿宋" w:cs="仿宋"/>
          <w:sz w:val="32"/>
          <w:szCs w:val="32"/>
        </w:rPr>
        <w:t>。全面践行以人民为中心的发展思想，坚持依靠人民，服务人民的生态环境保护理念，坚决打好生态环境质量持续改善攻坚战，扎实推进生态生态环境治理各项任务，为人民群众创造良好生产生活环境，提供更多优质生态产品，增强人民群众对生态环境改善的幸福感、获得感和安全感。</w:t>
      </w:r>
    </w:p>
    <w:p w14:paraId="58214A80">
      <w:pPr>
        <w:pStyle w:val="26"/>
        <w:spacing w:line="56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坚持深化改革、创新制度</w:t>
      </w:r>
      <w:r>
        <w:rPr>
          <w:rFonts w:hint="eastAsia" w:ascii="仿宋" w:hAnsi="仿宋" w:eastAsia="仿宋" w:cs="仿宋"/>
          <w:sz w:val="32"/>
          <w:szCs w:val="32"/>
        </w:rPr>
        <w:t>。坚持和拓展污染防治攻坚战的有效做法和经验，落实生态文明体制改革和各项制度要求，强化各项制度的协同增效，强化基础能力建设支撑，加快构建现代环境治理体系，形成与治理任务、治理需求相适应的治理能力和治理水平。</w:t>
      </w:r>
    </w:p>
    <w:p w14:paraId="53CB7459">
      <w:pPr>
        <w:pStyle w:val="26"/>
        <w:spacing w:line="56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坚持全民行动、共治共享</w:t>
      </w:r>
      <w:r>
        <w:rPr>
          <w:rFonts w:hint="eastAsia" w:ascii="仿宋" w:hAnsi="仿宋" w:eastAsia="仿宋" w:cs="仿宋"/>
          <w:sz w:val="32"/>
          <w:szCs w:val="32"/>
        </w:rPr>
        <w:t>。落实党委领导，政府主导，企业主体责任，动员社会组织和公众积极参与生态环境保护，激励与约束并举，政府与市场“两手发力”，形成政府、企业、社会组织和公众共同参与的现代化环境治理体系，汇聚现代化美好雁塔建设的社会合力，实现环境改善成果全民共享，提升人民群众的环境获得感。</w:t>
      </w:r>
    </w:p>
    <w:p w14:paraId="0021C7A9">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为实现生态环境质量继续改善，雁塔区“十四五”生态环境保护主要指标体系包括环境治理、应对气候变化、环境风险防控、应对气候变化指标共4大类，2</w:t>
      </w:r>
      <w:r>
        <w:rPr>
          <w:rFonts w:ascii="仿宋" w:hAnsi="仿宋" w:eastAsia="仿宋" w:cs="仿宋"/>
          <w:sz w:val="32"/>
          <w:szCs w:val="32"/>
        </w:rPr>
        <w:t>3</w:t>
      </w:r>
      <w:r>
        <w:rPr>
          <w:rFonts w:hint="eastAsia" w:ascii="仿宋" w:hAnsi="仿宋" w:eastAsia="仿宋" w:cs="仿宋"/>
          <w:sz w:val="32"/>
          <w:szCs w:val="32"/>
        </w:rPr>
        <w:t>项指标。</w:t>
      </w:r>
    </w:p>
    <w:p w14:paraId="7BB6EFB1">
      <w:pPr>
        <w:pStyle w:val="52"/>
        <w:spacing w:line="560" w:lineRule="exact"/>
        <w:ind w:firstLine="643"/>
        <w:jc w:val="center"/>
        <w:rPr>
          <w:rFonts w:ascii="仿宋" w:hAnsi="仿宋" w:eastAsia="仿宋" w:cs="仿宋"/>
          <w:bCs w:val="0"/>
          <w:spacing w:val="20"/>
          <w:kern w:val="10"/>
          <w:position w:val="30"/>
          <w:sz w:val="32"/>
          <w:szCs w:val="32"/>
        </w:rPr>
      </w:pPr>
      <w:r>
        <w:rPr>
          <w:rFonts w:hint="eastAsia" w:ascii="仿宋" w:hAnsi="仿宋" w:eastAsia="仿宋" w:cs="仿宋"/>
          <w:b/>
          <w:sz w:val="32"/>
          <w:szCs w:val="32"/>
        </w:rPr>
        <w:t>表1雁塔区“十四五”生态环境保护规划主要指标</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519"/>
        <w:gridCol w:w="2275"/>
        <w:gridCol w:w="984"/>
        <w:gridCol w:w="984"/>
        <w:gridCol w:w="984"/>
        <w:gridCol w:w="984"/>
        <w:gridCol w:w="984"/>
        <w:gridCol w:w="580"/>
      </w:tblGrid>
      <w:tr w14:paraId="1F718F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auto" w:sz="6" w:space="0"/>
              <w:left w:val="single" w:color="auto" w:sz="6" w:space="0"/>
              <w:bottom w:val="single" w:color="auto" w:sz="4" w:space="0"/>
              <w:right w:val="single" w:color="auto" w:sz="4" w:space="0"/>
            </w:tcBorders>
            <w:vAlign w:val="center"/>
          </w:tcPr>
          <w:p w14:paraId="21A7386F">
            <w:pPr>
              <w:adjustRightInd w:val="0"/>
              <w:snapToGrid w:val="0"/>
              <w:spacing w:line="240" w:lineRule="exact"/>
              <w:jc w:val="center"/>
              <w:rPr>
                <w:rFonts w:ascii="仿宋" w:hAnsi="仿宋" w:eastAsia="仿宋" w:cs="仿宋"/>
                <w:b/>
                <w:sz w:val="24"/>
              </w:rPr>
            </w:pPr>
            <w:bookmarkStart w:id="110" w:name="_Toc23619"/>
            <w:bookmarkStart w:id="111" w:name="_Toc5103"/>
            <w:bookmarkStart w:id="112" w:name="_Toc30688"/>
            <w:bookmarkStart w:id="113" w:name="_Toc466886021"/>
            <w:bookmarkStart w:id="114" w:name="_Toc23818"/>
            <w:bookmarkStart w:id="115" w:name="_Toc15413"/>
            <w:bookmarkStart w:id="116" w:name="_Toc28258"/>
            <w:bookmarkStart w:id="117" w:name="_Toc6782"/>
            <w:bookmarkStart w:id="118" w:name="_Toc457484792"/>
            <w:bookmarkStart w:id="119" w:name="_Toc26656"/>
            <w:r>
              <w:rPr>
                <w:rFonts w:hint="eastAsia" w:ascii="仿宋" w:hAnsi="仿宋" w:eastAsia="仿宋" w:cs="仿宋"/>
                <w:b/>
                <w:sz w:val="24"/>
              </w:rPr>
              <w:t>类别</w:t>
            </w:r>
          </w:p>
        </w:tc>
        <w:tc>
          <w:tcPr>
            <w:tcW w:w="0" w:type="auto"/>
            <w:tcBorders>
              <w:top w:val="single" w:color="auto" w:sz="6" w:space="0"/>
              <w:left w:val="single" w:color="auto" w:sz="4" w:space="0"/>
              <w:bottom w:val="single" w:color="auto" w:sz="4" w:space="0"/>
              <w:right w:val="single" w:color="auto" w:sz="4" w:space="0"/>
            </w:tcBorders>
            <w:vAlign w:val="center"/>
          </w:tcPr>
          <w:p w14:paraId="5D57932A">
            <w:pPr>
              <w:adjustRightInd w:val="0"/>
              <w:snapToGrid w:val="0"/>
              <w:spacing w:line="240" w:lineRule="exact"/>
              <w:jc w:val="center"/>
              <w:rPr>
                <w:rFonts w:ascii="仿宋" w:hAnsi="仿宋" w:eastAsia="仿宋" w:cs="仿宋"/>
                <w:b/>
                <w:sz w:val="24"/>
              </w:rPr>
            </w:pPr>
            <w:r>
              <w:rPr>
                <w:rFonts w:hint="eastAsia" w:ascii="仿宋" w:hAnsi="仿宋" w:eastAsia="仿宋" w:cs="仿宋"/>
                <w:b/>
                <w:sz w:val="24"/>
              </w:rPr>
              <w:t>序号</w:t>
            </w:r>
          </w:p>
        </w:tc>
        <w:tc>
          <w:tcPr>
            <w:tcW w:w="0" w:type="auto"/>
            <w:tcBorders>
              <w:top w:val="single" w:color="auto" w:sz="6" w:space="0"/>
              <w:left w:val="single" w:color="auto" w:sz="4" w:space="0"/>
              <w:bottom w:val="single" w:color="auto" w:sz="4" w:space="0"/>
              <w:right w:val="single" w:color="auto" w:sz="4" w:space="0"/>
            </w:tcBorders>
            <w:vAlign w:val="center"/>
          </w:tcPr>
          <w:p w14:paraId="76DAE60C">
            <w:pPr>
              <w:adjustRightInd w:val="0"/>
              <w:snapToGrid w:val="0"/>
              <w:spacing w:line="240" w:lineRule="exact"/>
              <w:jc w:val="center"/>
              <w:rPr>
                <w:rFonts w:ascii="仿宋" w:hAnsi="仿宋" w:eastAsia="仿宋" w:cs="仿宋"/>
                <w:b/>
                <w:sz w:val="24"/>
              </w:rPr>
            </w:pPr>
            <w:r>
              <w:rPr>
                <w:rFonts w:hint="eastAsia" w:ascii="仿宋" w:hAnsi="仿宋" w:eastAsia="仿宋" w:cs="仿宋"/>
                <w:b/>
                <w:sz w:val="24"/>
              </w:rPr>
              <w:t>指标</w:t>
            </w:r>
          </w:p>
        </w:tc>
        <w:tc>
          <w:tcPr>
            <w:tcW w:w="984" w:type="dxa"/>
            <w:tcBorders>
              <w:top w:val="single" w:color="auto" w:sz="6" w:space="0"/>
              <w:left w:val="single" w:color="auto" w:sz="4" w:space="0"/>
              <w:bottom w:val="single" w:color="auto" w:sz="4" w:space="0"/>
              <w:right w:val="single" w:color="auto" w:sz="4" w:space="0"/>
            </w:tcBorders>
            <w:vAlign w:val="center"/>
          </w:tcPr>
          <w:p w14:paraId="6D78AADA">
            <w:pPr>
              <w:adjustRightInd w:val="0"/>
              <w:snapToGrid w:val="0"/>
              <w:spacing w:line="240" w:lineRule="exact"/>
              <w:jc w:val="center"/>
              <w:rPr>
                <w:rFonts w:ascii="仿宋" w:hAnsi="仿宋" w:eastAsia="仿宋" w:cs="仿宋"/>
                <w:b/>
                <w:sz w:val="24"/>
              </w:rPr>
            </w:pPr>
            <w:r>
              <w:rPr>
                <w:rFonts w:hint="eastAsia" w:ascii="仿宋" w:hAnsi="仿宋" w:eastAsia="仿宋" w:cs="仿宋"/>
                <w:b/>
                <w:sz w:val="24"/>
              </w:rPr>
              <w:t>2021年</w:t>
            </w:r>
          </w:p>
        </w:tc>
        <w:tc>
          <w:tcPr>
            <w:tcW w:w="984" w:type="dxa"/>
            <w:tcBorders>
              <w:top w:val="single" w:color="auto" w:sz="6" w:space="0"/>
              <w:left w:val="single" w:color="auto" w:sz="4" w:space="0"/>
              <w:bottom w:val="single" w:color="auto" w:sz="4" w:space="0"/>
              <w:right w:val="single" w:color="auto" w:sz="4" w:space="0"/>
            </w:tcBorders>
            <w:vAlign w:val="center"/>
          </w:tcPr>
          <w:p w14:paraId="19FB05FE">
            <w:pPr>
              <w:adjustRightInd w:val="0"/>
              <w:snapToGrid w:val="0"/>
              <w:spacing w:line="240" w:lineRule="exact"/>
              <w:jc w:val="center"/>
              <w:rPr>
                <w:rFonts w:ascii="仿宋" w:hAnsi="仿宋" w:eastAsia="仿宋" w:cs="仿宋"/>
                <w:b/>
                <w:sz w:val="24"/>
              </w:rPr>
            </w:pPr>
            <w:r>
              <w:rPr>
                <w:rFonts w:hint="eastAsia" w:ascii="仿宋" w:hAnsi="仿宋" w:eastAsia="仿宋" w:cs="仿宋"/>
                <w:b/>
                <w:sz w:val="24"/>
              </w:rPr>
              <w:t>2022年</w:t>
            </w:r>
          </w:p>
        </w:tc>
        <w:tc>
          <w:tcPr>
            <w:tcW w:w="984" w:type="dxa"/>
            <w:tcBorders>
              <w:top w:val="single" w:color="auto" w:sz="6" w:space="0"/>
              <w:left w:val="single" w:color="auto" w:sz="4" w:space="0"/>
              <w:bottom w:val="single" w:color="auto" w:sz="4" w:space="0"/>
              <w:right w:val="single" w:color="auto" w:sz="4" w:space="0"/>
            </w:tcBorders>
            <w:vAlign w:val="center"/>
          </w:tcPr>
          <w:p w14:paraId="28585F0F">
            <w:pPr>
              <w:adjustRightInd w:val="0"/>
              <w:snapToGrid w:val="0"/>
              <w:spacing w:line="240" w:lineRule="exact"/>
              <w:jc w:val="center"/>
              <w:rPr>
                <w:rFonts w:ascii="仿宋" w:hAnsi="仿宋" w:eastAsia="仿宋" w:cs="仿宋"/>
                <w:b/>
                <w:sz w:val="24"/>
              </w:rPr>
            </w:pPr>
            <w:r>
              <w:rPr>
                <w:rFonts w:hint="eastAsia" w:ascii="仿宋" w:hAnsi="仿宋" w:eastAsia="仿宋" w:cs="仿宋"/>
                <w:b/>
                <w:sz w:val="24"/>
              </w:rPr>
              <w:t>2023年</w:t>
            </w:r>
          </w:p>
        </w:tc>
        <w:tc>
          <w:tcPr>
            <w:tcW w:w="984" w:type="dxa"/>
            <w:tcBorders>
              <w:top w:val="single" w:color="auto" w:sz="6" w:space="0"/>
              <w:left w:val="single" w:color="auto" w:sz="4" w:space="0"/>
              <w:bottom w:val="single" w:color="auto" w:sz="4" w:space="0"/>
              <w:right w:val="single" w:color="auto" w:sz="4" w:space="0"/>
            </w:tcBorders>
            <w:vAlign w:val="center"/>
          </w:tcPr>
          <w:p w14:paraId="421B47CC">
            <w:pPr>
              <w:adjustRightInd w:val="0"/>
              <w:snapToGrid w:val="0"/>
              <w:spacing w:line="240" w:lineRule="exact"/>
              <w:jc w:val="center"/>
              <w:rPr>
                <w:rFonts w:ascii="仿宋" w:hAnsi="仿宋" w:eastAsia="仿宋" w:cs="仿宋"/>
                <w:b/>
                <w:sz w:val="24"/>
              </w:rPr>
            </w:pPr>
            <w:r>
              <w:rPr>
                <w:rFonts w:hint="eastAsia" w:ascii="仿宋" w:hAnsi="仿宋" w:eastAsia="仿宋" w:cs="仿宋"/>
                <w:b/>
                <w:sz w:val="24"/>
              </w:rPr>
              <w:t>2024年</w:t>
            </w:r>
          </w:p>
        </w:tc>
        <w:tc>
          <w:tcPr>
            <w:tcW w:w="984" w:type="dxa"/>
            <w:tcBorders>
              <w:top w:val="single" w:color="auto" w:sz="6" w:space="0"/>
              <w:left w:val="single" w:color="auto" w:sz="4" w:space="0"/>
              <w:bottom w:val="single" w:color="auto" w:sz="4" w:space="0"/>
              <w:right w:val="single" w:color="auto" w:sz="4" w:space="0"/>
            </w:tcBorders>
            <w:vAlign w:val="center"/>
          </w:tcPr>
          <w:p w14:paraId="286EECA1">
            <w:pPr>
              <w:adjustRightInd w:val="0"/>
              <w:snapToGrid w:val="0"/>
              <w:spacing w:line="240" w:lineRule="exact"/>
              <w:jc w:val="center"/>
              <w:rPr>
                <w:rFonts w:ascii="仿宋" w:hAnsi="仿宋" w:eastAsia="仿宋" w:cs="仿宋"/>
                <w:b/>
                <w:sz w:val="24"/>
              </w:rPr>
            </w:pPr>
            <w:r>
              <w:rPr>
                <w:rFonts w:hint="eastAsia" w:ascii="仿宋" w:hAnsi="仿宋" w:eastAsia="仿宋" w:cs="仿宋"/>
                <w:b/>
                <w:sz w:val="24"/>
              </w:rPr>
              <w:t>2025年</w:t>
            </w:r>
          </w:p>
        </w:tc>
        <w:tc>
          <w:tcPr>
            <w:tcW w:w="0" w:type="auto"/>
            <w:tcBorders>
              <w:top w:val="single" w:color="auto" w:sz="6" w:space="0"/>
              <w:left w:val="single" w:color="auto" w:sz="4" w:space="0"/>
              <w:bottom w:val="single" w:color="auto" w:sz="4" w:space="0"/>
              <w:right w:val="single" w:color="auto" w:sz="6" w:space="0"/>
            </w:tcBorders>
            <w:vAlign w:val="center"/>
          </w:tcPr>
          <w:p w14:paraId="77EAFF19">
            <w:pPr>
              <w:adjustRightInd w:val="0"/>
              <w:snapToGrid w:val="0"/>
              <w:spacing w:line="240" w:lineRule="exact"/>
              <w:jc w:val="center"/>
              <w:rPr>
                <w:rFonts w:ascii="仿宋" w:hAnsi="仿宋" w:eastAsia="仿宋" w:cs="仿宋"/>
                <w:b/>
                <w:sz w:val="24"/>
              </w:rPr>
            </w:pPr>
            <w:r>
              <w:rPr>
                <w:rFonts w:hint="eastAsia" w:ascii="仿宋" w:hAnsi="仿宋" w:eastAsia="仿宋" w:cs="仿宋"/>
                <w:b/>
                <w:sz w:val="24"/>
              </w:rPr>
              <w:t>属性</w:t>
            </w:r>
          </w:p>
        </w:tc>
      </w:tr>
      <w:tr w14:paraId="011635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0" w:type="auto"/>
            <w:vMerge w:val="restart"/>
            <w:tcBorders>
              <w:top w:val="single" w:color="auto" w:sz="4" w:space="0"/>
              <w:left w:val="single" w:color="auto" w:sz="6" w:space="0"/>
              <w:right w:val="single" w:color="auto" w:sz="4" w:space="0"/>
            </w:tcBorders>
            <w:vAlign w:val="center"/>
          </w:tcPr>
          <w:p w14:paraId="2322CDB7">
            <w:pPr>
              <w:adjustRightInd w:val="0"/>
              <w:snapToGrid w:val="0"/>
              <w:spacing w:line="240" w:lineRule="exact"/>
              <w:jc w:val="center"/>
              <w:rPr>
                <w:rFonts w:ascii="仿宋" w:hAnsi="仿宋" w:eastAsia="仿宋" w:cs="仿宋"/>
                <w:b/>
                <w:sz w:val="24"/>
              </w:rPr>
            </w:pPr>
            <w:r>
              <w:rPr>
                <w:rFonts w:hint="eastAsia" w:ascii="仿宋" w:hAnsi="仿宋" w:eastAsia="仿宋" w:cs="仿宋"/>
                <w:sz w:val="24"/>
              </w:rPr>
              <w:t>环境治理指标</w:t>
            </w:r>
          </w:p>
        </w:tc>
        <w:tc>
          <w:tcPr>
            <w:tcW w:w="0" w:type="auto"/>
            <w:tcBorders>
              <w:top w:val="single" w:color="auto" w:sz="4" w:space="0"/>
              <w:left w:val="single" w:color="auto" w:sz="4" w:space="0"/>
              <w:bottom w:val="single" w:color="auto" w:sz="4" w:space="0"/>
              <w:right w:val="single" w:color="auto" w:sz="4" w:space="0"/>
            </w:tcBorders>
            <w:vAlign w:val="center"/>
          </w:tcPr>
          <w:p w14:paraId="4D28E626">
            <w:pPr>
              <w:adjustRightInd w:val="0"/>
              <w:snapToGrid w:val="0"/>
              <w:spacing w:line="240" w:lineRule="exact"/>
              <w:jc w:val="center"/>
              <w:rPr>
                <w:rFonts w:ascii="仿宋" w:hAnsi="仿宋" w:eastAsia="仿宋" w:cs="仿宋"/>
                <w:b/>
                <w:sz w:val="24"/>
              </w:rPr>
            </w:pPr>
            <w:r>
              <w:rPr>
                <w:rFonts w:hint="eastAsia" w:ascii="仿宋" w:hAnsi="仿宋" w:eastAsia="仿宋" w:cs="仿宋"/>
                <w:sz w:val="24"/>
              </w:rPr>
              <w:t>1</w:t>
            </w:r>
          </w:p>
        </w:tc>
        <w:tc>
          <w:tcPr>
            <w:tcW w:w="0" w:type="auto"/>
            <w:tcBorders>
              <w:top w:val="single" w:color="auto" w:sz="4" w:space="0"/>
              <w:left w:val="single" w:color="auto" w:sz="4" w:space="0"/>
              <w:bottom w:val="single" w:color="auto" w:sz="4" w:space="0"/>
              <w:right w:val="single" w:color="auto" w:sz="4" w:space="0"/>
            </w:tcBorders>
            <w:vAlign w:val="center"/>
          </w:tcPr>
          <w:p w14:paraId="71306BB2">
            <w:pPr>
              <w:adjustRightInd w:val="0"/>
              <w:snapToGrid w:val="0"/>
              <w:spacing w:line="240" w:lineRule="exact"/>
              <w:jc w:val="center"/>
              <w:rPr>
                <w:rFonts w:ascii="仿宋" w:hAnsi="仿宋" w:eastAsia="仿宋" w:cs="仿宋"/>
                <w:b/>
                <w:sz w:val="24"/>
              </w:rPr>
            </w:pPr>
            <w:r>
              <w:rPr>
                <w:rFonts w:hint="eastAsia" w:ascii="仿宋" w:hAnsi="仿宋" w:eastAsia="仿宋" w:cs="仿宋"/>
                <w:sz w:val="24"/>
              </w:rPr>
              <w:t>细颗粒物（PM</w:t>
            </w:r>
            <w:r>
              <w:rPr>
                <w:rFonts w:hint="eastAsia" w:ascii="仿宋" w:hAnsi="仿宋" w:eastAsia="仿宋" w:cs="仿宋"/>
                <w:sz w:val="24"/>
                <w:vertAlign w:val="subscript"/>
              </w:rPr>
              <w:t>2.5</w:t>
            </w:r>
            <w:r>
              <w:rPr>
                <w:rFonts w:hint="eastAsia" w:ascii="仿宋" w:hAnsi="仿宋" w:eastAsia="仿宋" w:cs="仿宋"/>
                <w:sz w:val="24"/>
              </w:rPr>
              <w:t>）浓度下降#</w:t>
            </w:r>
          </w:p>
        </w:tc>
        <w:tc>
          <w:tcPr>
            <w:tcW w:w="984" w:type="dxa"/>
            <w:tcBorders>
              <w:top w:val="single" w:color="auto" w:sz="4" w:space="0"/>
              <w:left w:val="single" w:color="auto" w:sz="4" w:space="0"/>
              <w:bottom w:val="single" w:color="auto" w:sz="4" w:space="0"/>
              <w:right w:val="single" w:color="auto" w:sz="4" w:space="0"/>
            </w:tcBorders>
            <w:vAlign w:val="center"/>
          </w:tcPr>
          <w:p w14:paraId="78F2347C">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[2</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01009E4D">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4</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0C5CCC3B">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6</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1EF3CDDC">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8</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45BE8BE9">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10</w:t>
            </w:r>
            <w:r>
              <w:rPr>
                <w:rFonts w:ascii="仿宋" w:hAnsi="仿宋" w:eastAsia="仿宋" w:cs="仿宋"/>
                <w:bCs/>
                <w:sz w:val="24"/>
              </w:rPr>
              <w:t>]</w:t>
            </w:r>
          </w:p>
        </w:tc>
        <w:tc>
          <w:tcPr>
            <w:tcW w:w="0" w:type="auto"/>
            <w:tcBorders>
              <w:top w:val="single" w:color="auto" w:sz="4" w:space="0"/>
              <w:left w:val="single" w:color="auto" w:sz="4" w:space="0"/>
              <w:bottom w:val="single" w:color="auto" w:sz="4" w:space="0"/>
              <w:right w:val="single" w:color="auto" w:sz="6" w:space="0"/>
            </w:tcBorders>
            <w:vAlign w:val="center"/>
          </w:tcPr>
          <w:p w14:paraId="0FF6202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1FA144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right w:val="single" w:color="auto" w:sz="4" w:space="0"/>
            </w:tcBorders>
            <w:vAlign w:val="center"/>
          </w:tcPr>
          <w:p w14:paraId="7D0ED1BD">
            <w:pPr>
              <w:widowControl/>
              <w:spacing w:line="240" w:lineRule="exact"/>
              <w:jc w:val="left"/>
              <w:rPr>
                <w:rFonts w:ascii="仿宋" w:hAnsi="仿宋" w:eastAsia="仿宋" w:cs="仿宋"/>
                <w:b/>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C519286">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2</w:t>
            </w:r>
          </w:p>
        </w:tc>
        <w:tc>
          <w:tcPr>
            <w:tcW w:w="0" w:type="auto"/>
            <w:tcBorders>
              <w:top w:val="single" w:color="auto" w:sz="4" w:space="0"/>
              <w:left w:val="single" w:color="auto" w:sz="4" w:space="0"/>
              <w:bottom w:val="single" w:color="auto" w:sz="4" w:space="0"/>
              <w:right w:val="single" w:color="auto" w:sz="4" w:space="0"/>
            </w:tcBorders>
            <w:vAlign w:val="center"/>
          </w:tcPr>
          <w:p w14:paraId="37ABBB53">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空气质量优良天数比例（%）#</w:t>
            </w:r>
          </w:p>
        </w:tc>
        <w:tc>
          <w:tcPr>
            <w:tcW w:w="984" w:type="dxa"/>
            <w:tcBorders>
              <w:top w:val="single" w:color="auto" w:sz="4" w:space="0"/>
              <w:left w:val="single" w:color="auto" w:sz="4" w:space="0"/>
              <w:bottom w:val="single" w:color="auto" w:sz="4" w:space="0"/>
              <w:right w:val="single" w:color="auto" w:sz="4" w:space="0"/>
            </w:tcBorders>
            <w:vAlign w:val="center"/>
          </w:tcPr>
          <w:p w14:paraId="25026A3F">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68</w:t>
            </w:r>
          </w:p>
        </w:tc>
        <w:tc>
          <w:tcPr>
            <w:tcW w:w="984" w:type="dxa"/>
            <w:tcBorders>
              <w:top w:val="single" w:color="auto" w:sz="4" w:space="0"/>
              <w:left w:val="single" w:color="auto" w:sz="4" w:space="0"/>
              <w:bottom w:val="single" w:color="auto" w:sz="4" w:space="0"/>
              <w:right w:val="single" w:color="auto" w:sz="4" w:space="0"/>
            </w:tcBorders>
            <w:vAlign w:val="center"/>
          </w:tcPr>
          <w:p w14:paraId="437BE573">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69</w:t>
            </w:r>
          </w:p>
        </w:tc>
        <w:tc>
          <w:tcPr>
            <w:tcW w:w="984" w:type="dxa"/>
            <w:tcBorders>
              <w:top w:val="single" w:color="auto" w:sz="4" w:space="0"/>
              <w:left w:val="single" w:color="auto" w:sz="4" w:space="0"/>
              <w:bottom w:val="single" w:color="auto" w:sz="4" w:space="0"/>
              <w:right w:val="single" w:color="auto" w:sz="4" w:space="0"/>
            </w:tcBorders>
            <w:vAlign w:val="center"/>
          </w:tcPr>
          <w:p w14:paraId="0CA0ED56">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70</w:t>
            </w:r>
          </w:p>
        </w:tc>
        <w:tc>
          <w:tcPr>
            <w:tcW w:w="984" w:type="dxa"/>
            <w:tcBorders>
              <w:top w:val="single" w:color="auto" w:sz="4" w:space="0"/>
              <w:left w:val="single" w:color="auto" w:sz="4" w:space="0"/>
              <w:bottom w:val="single" w:color="auto" w:sz="4" w:space="0"/>
              <w:right w:val="single" w:color="auto" w:sz="4" w:space="0"/>
            </w:tcBorders>
            <w:vAlign w:val="center"/>
          </w:tcPr>
          <w:p w14:paraId="658E4B27">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72</w:t>
            </w:r>
          </w:p>
        </w:tc>
        <w:tc>
          <w:tcPr>
            <w:tcW w:w="984" w:type="dxa"/>
            <w:tcBorders>
              <w:top w:val="single" w:color="auto" w:sz="4" w:space="0"/>
              <w:left w:val="single" w:color="auto" w:sz="4" w:space="0"/>
              <w:bottom w:val="single" w:color="auto" w:sz="4" w:space="0"/>
              <w:right w:val="single" w:color="auto" w:sz="4" w:space="0"/>
            </w:tcBorders>
            <w:vAlign w:val="center"/>
          </w:tcPr>
          <w:p w14:paraId="77EFA476">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74</w:t>
            </w:r>
          </w:p>
        </w:tc>
        <w:tc>
          <w:tcPr>
            <w:tcW w:w="0" w:type="auto"/>
            <w:tcBorders>
              <w:top w:val="single" w:color="auto" w:sz="4" w:space="0"/>
              <w:left w:val="single" w:color="auto" w:sz="4" w:space="0"/>
              <w:bottom w:val="single" w:color="auto" w:sz="4" w:space="0"/>
              <w:right w:val="single" w:color="auto" w:sz="6" w:space="0"/>
            </w:tcBorders>
            <w:vAlign w:val="center"/>
          </w:tcPr>
          <w:p w14:paraId="76FB0A5F">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28B7F2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right w:val="single" w:color="auto" w:sz="4" w:space="0"/>
            </w:tcBorders>
            <w:vAlign w:val="center"/>
          </w:tcPr>
          <w:p w14:paraId="6B5EB6A2">
            <w:pPr>
              <w:widowControl/>
              <w:spacing w:line="240" w:lineRule="exact"/>
              <w:jc w:val="left"/>
              <w:rPr>
                <w:rFonts w:ascii="仿宋" w:hAnsi="仿宋" w:eastAsia="仿宋" w:cs="仿宋"/>
                <w:b/>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7F99E2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3</w:t>
            </w:r>
          </w:p>
        </w:tc>
        <w:tc>
          <w:tcPr>
            <w:tcW w:w="0" w:type="auto"/>
            <w:tcBorders>
              <w:top w:val="single" w:color="auto" w:sz="4" w:space="0"/>
              <w:left w:val="single" w:color="auto" w:sz="4" w:space="0"/>
              <w:bottom w:val="single" w:color="auto" w:sz="4" w:space="0"/>
              <w:right w:val="single" w:color="auto" w:sz="4" w:space="0"/>
            </w:tcBorders>
            <w:vAlign w:val="center"/>
          </w:tcPr>
          <w:p w14:paraId="5F8F7CE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地表水质量达到或优于Ⅲ类水体比例（%）#</w:t>
            </w:r>
          </w:p>
        </w:tc>
        <w:tc>
          <w:tcPr>
            <w:tcW w:w="984" w:type="dxa"/>
            <w:tcBorders>
              <w:top w:val="single" w:color="auto" w:sz="4" w:space="0"/>
              <w:left w:val="single" w:color="auto" w:sz="4" w:space="0"/>
              <w:bottom w:val="single" w:color="auto" w:sz="4" w:space="0"/>
              <w:right w:val="single" w:color="auto" w:sz="4" w:space="0"/>
            </w:tcBorders>
            <w:vAlign w:val="center"/>
          </w:tcPr>
          <w:p w14:paraId="050FE579">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73</w:t>
            </w:r>
          </w:p>
        </w:tc>
        <w:tc>
          <w:tcPr>
            <w:tcW w:w="984" w:type="dxa"/>
            <w:tcBorders>
              <w:top w:val="single" w:color="auto" w:sz="4" w:space="0"/>
              <w:left w:val="single" w:color="auto" w:sz="4" w:space="0"/>
              <w:bottom w:val="single" w:color="auto" w:sz="4" w:space="0"/>
              <w:right w:val="single" w:color="auto" w:sz="4" w:space="0"/>
            </w:tcBorders>
            <w:vAlign w:val="center"/>
          </w:tcPr>
          <w:p w14:paraId="63E1732A">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73</w:t>
            </w:r>
          </w:p>
        </w:tc>
        <w:tc>
          <w:tcPr>
            <w:tcW w:w="984" w:type="dxa"/>
            <w:tcBorders>
              <w:top w:val="single" w:color="auto" w:sz="4" w:space="0"/>
              <w:left w:val="single" w:color="auto" w:sz="4" w:space="0"/>
              <w:bottom w:val="single" w:color="auto" w:sz="4" w:space="0"/>
              <w:right w:val="single" w:color="auto" w:sz="4" w:space="0"/>
            </w:tcBorders>
            <w:vAlign w:val="center"/>
          </w:tcPr>
          <w:p w14:paraId="48353D63">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73</w:t>
            </w:r>
          </w:p>
        </w:tc>
        <w:tc>
          <w:tcPr>
            <w:tcW w:w="984" w:type="dxa"/>
            <w:tcBorders>
              <w:top w:val="single" w:color="auto" w:sz="4" w:space="0"/>
              <w:left w:val="single" w:color="auto" w:sz="4" w:space="0"/>
              <w:bottom w:val="single" w:color="auto" w:sz="4" w:space="0"/>
              <w:right w:val="single" w:color="auto" w:sz="4" w:space="0"/>
            </w:tcBorders>
            <w:vAlign w:val="center"/>
          </w:tcPr>
          <w:p w14:paraId="4B2A70C6">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73</w:t>
            </w:r>
          </w:p>
        </w:tc>
        <w:tc>
          <w:tcPr>
            <w:tcW w:w="984" w:type="dxa"/>
            <w:tcBorders>
              <w:top w:val="single" w:color="auto" w:sz="4" w:space="0"/>
              <w:left w:val="single" w:color="auto" w:sz="4" w:space="0"/>
              <w:bottom w:val="single" w:color="auto" w:sz="4" w:space="0"/>
              <w:right w:val="single" w:color="auto" w:sz="4" w:space="0"/>
            </w:tcBorders>
            <w:vAlign w:val="center"/>
          </w:tcPr>
          <w:p w14:paraId="6E20D269">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73</w:t>
            </w:r>
          </w:p>
        </w:tc>
        <w:tc>
          <w:tcPr>
            <w:tcW w:w="0" w:type="auto"/>
            <w:tcBorders>
              <w:top w:val="single" w:color="auto" w:sz="4" w:space="0"/>
              <w:left w:val="single" w:color="auto" w:sz="4" w:space="0"/>
              <w:bottom w:val="single" w:color="auto" w:sz="4" w:space="0"/>
              <w:right w:val="single" w:color="auto" w:sz="6" w:space="0"/>
            </w:tcBorders>
            <w:vAlign w:val="center"/>
          </w:tcPr>
          <w:p w14:paraId="104F377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77D942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right w:val="single" w:color="auto" w:sz="4" w:space="0"/>
            </w:tcBorders>
            <w:vAlign w:val="center"/>
          </w:tcPr>
          <w:p w14:paraId="5B281084">
            <w:pPr>
              <w:widowControl/>
              <w:spacing w:line="240" w:lineRule="exact"/>
              <w:jc w:val="left"/>
              <w:rPr>
                <w:rFonts w:ascii="仿宋" w:hAnsi="仿宋" w:eastAsia="仿宋" w:cs="仿宋"/>
                <w:b/>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C8A886C">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4</w:t>
            </w:r>
          </w:p>
        </w:tc>
        <w:tc>
          <w:tcPr>
            <w:tcW w:w="0" w:type="auto"/>
            <w:tcBorders>
              <w:top w:val="single" w:color="auto" w:sz="4" w:space="0"/>
              <w:left w:val="single" w:color="auto" w:sz="4" w:space="0"/>
              <w:bottom w:val="single" w:color="auto" w:sz="4" w:space="0"/>
              <w:right w:val="single" w:color="auto" w:sz="4" w:space="0"/>
            </w:tcBorders>
            <w:vAlign w:val="center"/>
          </w:tcPr>
          <w:p w14:paraId="3E663A4A">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地表水质量劣Ⅴ类水体比例（%）</w:t>
            </w:r>
          </w:p>
        </w:tc>
        <w:tc>
          <w:tcPr>
            <w:tcW w:w="984" w:type="dxa"/>
            <w:tcBorders>
              <w:top w:val="single" w:color="auto" w:sz="4" w:space="0"/>
              <w:left w:val="single" w:color="auto" w:sz="4" w:space="0"/>
              <w:bottom w:val="single" w:color="auto" w:sz="4" w:space="0"/>
              <w:right w:val="single" w:color="auto" w:sz="4" w:space="0"/>
            </w:tcBorders>
            <w:vAlign w:val="center"/>
          </w:tcPr>
          <w:p w14:paraId="53152F71">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556BE37B">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374D1EEC">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0C4C3A78">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369EF2EA">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0" w:type="auto"/>
            <w:tcBorders>
              <w:top w:val="single" w:color="auto" w:sz="4" w:space="0"/>
              <w:left w:val="single" w:color="auto" w:sz="4" w:space="0"/>
              <w:bottom w:val="single" w:color="auto" w:sz="4" w:space="0"/>
              <w:right w:val="single" w:color="auto" w:sz="6" w:space="0"/>
            </w:tcBorders>
            <w:vAlign w:val="center"/>
          </w:tcPr>
          <w:p w14:paraId="26200C1F">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32241C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right w:val="single" w:color="auto" w:sz="4" w:space="0"/>
            </w:tcBorders>
            <w:vAlign w:val="center"/>
          </w:tcPr>
          <w:p w14:paraId="66F0A977">
            <w:pPr>
              <w:widowControl/>
              <w:spacing w:line="240" w:lineRule="exact"/>
              <w:jc w:val="left"/>
              <w:rPr>
                <w:rFonts w:ascii="仿宋" w:hAnsi="仿宋" w:eastAsia="仿宋" w:cs="仿宋"/>
                <w:b/>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802B0E">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5</w:t>
            </w:r>
          </w:p>
        </w:tc>
        <w:tc>
          <w:tcPr>
            <w:tcW w:w="0" w:type="auto"/>
            <w:tcBorders>
              <w:top w:val="single" w:color="auto" w:sz="4" w:space="0"/>
              <w:left w:val="single" w:color="auto" w:sz="4" w:space="0"/>
              <w:bottom w:val="single" w:color="auto" w:sz="4" w:space="0"/>
              <w:right w:val="single" w:color="auto" w:sz="4" w:space="0"/>
            </w:tcBorders>
            <w:vAlign w:val="center"/>
          </w:tcPr>
          <w:p w14:paraId="7FAB2806">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县级以上及城市建成区黑臭水体比例（%）</w:t>
            </w:r>
          </w:p>
        </w:tc>
        <w:tc>
          <w:tcPr>
            <w:tcW w:w="984" w:type="dxa"/>
            <w:tcBorders>
              <w:top w:val="single" w:color="auto" w:sz="4" w:space="0"/>
              <w:left w:val="single" w:color="auto" w:sz="4" w:space="0"/>
              <w:bottom w:val="single" w:color="auto" w:sz="4" w:space="0"/>
              <w:right w:val="single" w:color="auto" w:sz="4" w:space="0"/>
            </w:tcBorders>
            <w:vAlign w:val="center"/>
          </w:tcPr>
          <w:p w14:paraId="37A88CA8">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66D57F69">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252E4FB0">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4E01F974">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0CD200F1">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0" w:type="auto"/>
            <w:tcBorders>
              <w:top w:val="single" w:color="auto" w:sz="4" w:space="0"/>
              <w:left w:val="single" w:color="auto" w:sz="4" w:space="0"/>
              <w:bottom w:val="single" w:color="auto" w:sz="4" w:space="0"/>
              <w:right w:val="single" w:color="auto" w:sz="6" w:space="0"/>
            </w:tcBorders>
            <w:vAlign w:val="center"/>
          </w:tcPr>
          <w:p w14:paraId="763A835A">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r w14:paraId="09A44AE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vMerge w:val="continue"/>
            <w:tcBorders>
              <w:left w:val="single" w:color="auto" w:sz="6" w:space="0"/>
              <w:right w:val="single" w:color="auto" w:sz="4" w:space="0"/>
            </w:tcBorders>
            <w:vAlign w:val="center"/>
          </w:tcPr>
          <w:p w14:paraId="158490E0">
            <w:pPr>
              <w:widowControl/>
              <w:spacing w:line="240" w:lineRule="exact"/>
              <w:jc w:val="left"/>
              <w:rPr>
                <w:rFonts w:ascii="仿宋" w:hAnsi="仿宋" w:eastAsia="仿宋" w:cs="仿宋"/>
                <w:b/>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9E07640">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6</w:t>
            </w:r>
          </w:p>
        </w:tc>
        <w:tc>
          <w:tcPr>
            <w:tcW w:w="0" w:type="auto"/>
            <w:tcBorders>
              <w:top w:val="single" w:color="auto" w:sz="4" w:space="0"/>
              <w:left w:val="single" w:color="auto" w:sz="4" w:space="0"/>
              <w:bottom w:val="single" w:color="auto" w:sz="4" w:space="0"/>
              <w:right w:val="single" w:color="auto" w:sz="4" w:space="0"/>
            </w:tcBorders>
            <w:vAlign w:val="center"/>
          </w:tcPr>
          <w:p w14:paraId="33F032B7">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县级及以上城市集中式饮用水水源水质达标率（%）</w:t>
            </w:r>
          </w:p>
        </w:tc>
        <w:tc>
          <w:tcPr>
            <w:tcW w:w="984" w:type="dxa"/>
            <w:tcBorders>
              <w:top w:val="single" w:color="auto" w:sz="4" w:space="0"/>
              <w:left w:val="single" w:color="auto" w:sz="4" w:space="0"/>
              <w:bottom w:val="single" w:color="auto" w:sz="4" w:space="0"/>
              <w:right w:val="single" w:color="auto" w:sz="4" w:space="0"/>
            </w:tcBorders>
            <w:vAlign w:val="center"/>
          </w:tcPr>
          <w:p w14:paraId="7799988F">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rPr>
              <w:t>100</w:t>
            </w:r>
          </w:p>
        </w:tc>
        <w:tc>
          <w:tcPr>
            <w:tcW w:w="984" w:type="dxa"/>
            <w:tcBorders>
              <w:top w:val="single" w:color="auto" w:sz="4" w:space="0"/>
              <w:left w:val="single" w:color="auto" w:sz="4" w:space="0"/>
              <w:bottom w:val="single" w:color="auto" w:sz="4" w:space="0"/>
              <w:right w:val="single" w:color="auto" w:sz="4" w:space="0"/>
            </w:tcBorders>
            <w:vAlign w:val="center"/>
          </w:tcPr>
          <w:p w14:paraId="4FF0E11D">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rPr>
              <w:t>100</w:t>
            </w:r>
          </w:p>
        </w:tc>
        <w:tc>
          <w:tcPr>
            <w:tcW w:w="984" w:type="dxa"/>
            <w:tcBorders>
              <w:top w:val="single" w:color="auto" w:sz="4" w:space="0"/>
              <w:left w:val="single" w:color="auto" w:sz="4" w:space="0"/>
              <w:bottom w:val="single" w:color="auto" w:sz="4" w:space="0"/>
              <w:right w:val="single" w:color="auto" w:sz="4" w:space="0"/>
            </w:tcBorders>
            <w:vAlign w:val="center"/>
          </w:tcPr>
          <w:p w14:paraId="59F9A1D7">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rPr>
              <w:t>100</w:t>
            </w:r>
          </w:p>
        </w:tc>
        <w:tc>
          <w:tcPr>
            <w:tcW w:w="984" w:type="dxa"/>
            <w:tcBorders>
              <w:top w:val="single" w:color="auto" w:sz="4" w:space="0"/>
              <w:left w:val="single" w:color="auto" w:sz="4" w:space="0"/>
              <w:bottom w:val="single" w:color="auto" w:sz="4" w:space="0"/>
              <w:right w:val="single" w:color="auto" w:sz="4" w:space="0"/>
            </w:tcBorders>
            <w:vAlign w:val="center"/>
          </w:tcPr>
          <w:p w14:paraId="6A78D162">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rPr>
              <w:t>100</w:t>
            </w:r>
          </w:p>
        </w:tc>
        <w:tc>
          <w:tcPr>
            <w:tcW w:w="984" w:type="dxa"/>
            <w:tcBorders>
              <w:top w:val="single" w:color="auto" w:sz="4" w:space="0"/>
              <w:left w:val="single" w:color="auto" w:sz="4" w:space="0"/>
              <w:bottom w:val="single" w:color="auto" w:sz="4" w:space="0"/>
              <w:right w:val="single" w:color="auto" w:sz="4" w:space="0"/>
            </w:tcBorders>
            <w:vAlign w:val="center"/>
          </w:tcPr>
          <w:p w14:paraId="278433BE">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100</w:t>
            </w:r>
          </w:p>
        </w:tc>
        <w:tc>
          <w:tcPr>
            <w:tcW w:w="0" w:type="auto"/>
            <w:tcBorders>
              <w:top w:val="single" w:color="auto" w:sz="4" w:space="0"/>
              <w:left w:val="single" w:color="auto" w:sz="4" w:space="0"/>
              <w:bottom w:val="single" w:color="auto" w:sz="4" w:space="0"/>
              <w:right w:val="single" w:color="auto" w:sz="6" w:space="0"/>
            </w:tcBorders>
            <w:vAlign w:val="center"/>
          </w:tcPr>
          <w:p w14:paraId="264ACDFA">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r w14:paraId="2663A5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0" w:type="auto"/>
            <w:vMerge w:val="continue"/>
            <w:tcBorders>
              <w:left w:val="single" w:color="auto" w:sz="6" w:space="0"/>
              <w:right w:val="single" w:color="auto" w:sz="4" w:space="0"/>
            </w:tcBorders>
            <w:vAlign w:val="center"/>
          </w:tcPr>
          <w:p w14:paraId="0A220DC5">
            <w:pPr>
              <w:widowControl/>
              <w:spacing w:line="240" w:lineRule="exact"/>
              <w:jc w:val="left"/>
              <w:rPr>
                <w:rFonts w:ascii="仿宋" w:hAnsi="仿宋" w:eastAsia="仿宋" w:cs="仿宋"/>
                <w:b/>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0CB252">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7</w:t>
            </w:r>
          </w:p>
        </w:tc>
        <w:tc>
          <w:tcPr>
            <w:tcW w:w="0" w:type="auto"/>
            <w:tcBorders>
              <w:top w:val="single" w:color="auto" w:sz="4" w:space="0"/>
              <w:left w:val="single" w:color="auto" w:sz="4" w:space="0"/>
              <w:bottom w:val="single" w:color="auto" w:sz="4" w:space="0"/>
              <w:right w:val="single" w:color="auto" w:sz="4" w:space="0"/>
            </w:tcBorders>
            <w:vAlign w:val="center"/>
          </w:tcPr>
          <w:p w14:paraId="2BD43D9B">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地下水质量V类水比例（%）</w:t>
            </w:r>
          </w:p>
        </w:tc>
        <w:tc>
          <w:tcPr>
            <w:tcW w:w="984" w:type="dxa"/>
            <w:tcBorders>
              <w:top w:val="single" w:color="auto" w:sz="4" w:space="0"/>
              <w:left w:val="single" w:color="auto" w:sz="4" w:space="0"/>
              <w:bottom w:val="single" w:color="auto" w:sz="4" w:space="0"/>
              <w:right w:val="single" w:color="auto" w:sz="4" w:space="0"/>
            </w:tcBorders>
            <w:vAlign w:val="center"/>
          </w:tcPr>
          <w:p w14:paraId="4CE77ADC">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65E6C68A">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54293683">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2F4E0CA7">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984" w:type="dxa"/>
            <w:tcBorders>
              <w:top w:val="single" w:color="auto" w:sz="4" w:space="0"/>
              <w:left w:val="single" w:color="auto" w:sz="4" w:space="0"/>
              <w:bottom w:val="single" w:color="auto" w:sz="4" w:space="0"/>
              <w:right w:val="single" w:color="auto" w:sz="4" w:space="0"/>
            </w:tcBorders>
            <w:vAlign w:val="center"/>
          </w:tcPr>
          <w:p w14:paraId="6602FB51">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0</w:t>
            </w:r>
          </w:p>
        </w:tc>
        <w:tc>
          <w:tcPr>
            <w:tcW w:w="0" w:type="auto"/>
            <w:tcBorders>
              <w:top w:val="single" w:color="auto" w:sz="4" w:space="0"/>
              <w:left w:val="single" w:color="auto" w:sz="4" w:space="0"/>
              <w:bottom w:val="single" w:color="auto" w:sz="4" w:space="0"/>
              <w:right w:val="single" w:color="auto" w:sz="6" w:space="0"/>
            </w:tcBorders>
            <w:vAlign w:val="center"/>
          </w:tcPr>
          <w:p w14:paraId="4E27970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r w14:paraId="57F216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0" w:type="auto"/>
            <w:vMerge w:val="continue"/>
            <w:tcBorders>
              <w:left w:val="single" w:color="auto" w:sz="6" w:space="0"/>
              <w:right w:val="single" w:color="auto" w:sz="4" w:space="0"/>
            </w:tcBorders>
            <w:vAlign w:val="center"/>
          </w:tcPr>
          <w:p w14:paraId="0D2AB6D4">
            <w:pPr>
              <w:widowControl/>
              <w:spacing w:line="240" w:lineRule="exact"/>
              <w:jc w:val="left"/>
              <w:rPr>
                <w:rFonts w:ascii="仿宋" w:hAnsi="仿宋" w:eastAsia="仿宋" w:cs="仿宋"/>
                <w:b/>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AB6314B">
            <w:pPr>
              <w:adjustRightInd w:val="0"/>
              <w:snapToGrid w:val="0"/>
              <w:spacing w:line="240" w:lineRule="exact"/>
              <w:jc w:val="center"/>
              <w:rPr>
                <w:rFonts w:ascii="仿宋" w:hAnsi="仿宋" w:eastAsia="仿宋" w:cs="仿宋"/>
                <w:sz w:val="24"/>
              </w:rPr>
            </w:pPr>
            <w:r>
              <w:rPr>
                <w:rFonts w:ascii="仿宋" w:hAnsi="仿宋" w:eastAsia="仿宋" w:cs="仿宋"/>
                <w:sz w:val="24"/>
              </w:rPr>
              <w:t>8</w:t>
            </w:r>
          </w:p>
        </w:tc>
        <w:tc>
          <w:tcPr>
            <w:tcW w:w="0" w:type="auto"/>
            <w:tcBorders>
              <w:top w:val="single" w:color="auto" w:sz="4" w:space="0"/>
              <w:left w:val="single" w:color="auto" w:sz="4" w:space="0"/>
              <w:bottom w:val="single" w:color="auto" w:sz="4" w:space="0"/>
              <w:right w:val="single" w:color="auto" w:sz="4" w:space="0"/>
            </w:tcBorders>
            <w:vAlign w:val="center"/>
          </w:tcPr>
          <w:p w14:paraId="622791F6">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农村生活污水治理率（%）</w:t>
            </w:r>
          </w:p>
        </w:tc>
        <w:tc>
          <w:tcPr>
            <w:tcW w:w="984" w:type="dxa"/>
            <w:tcBorders>
              <w:top w:val="single" w:color="auto" w:sz="4" w:space="0"/>
              <w:left w:val="single" w:color="auto" w:sz="4" w:space="0"/>
              <w:bottom w:val="single" w:color="auto" w:sz="4" w:space="0"/>
              <w:right w:val="single" w:color="auto" w:sz="4" w:space="0"/>
            </w:tcBorders>
            <w:vAlign w:val="center"/>
          </w:tcPr>
          <w:p w14:paraId="7F19EAB1">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城市化污水处理</w:t>
            </w:r>
          </w:p>
        </w:tc>
        <w:tc>
          <w:tcPr>
            <w:tcW w:w="984" w:type="dxa"/>
            <w:tcBorders>
              <w:top w:val="single" w:color="auto" w:sz="4" w:space="0"/>
              <w:left w:val="single" w:color="auto" w:sz="4" w:space="0"/>
              <w:bottom w:val="single" w:color="auto" w:sz="4" w:space="0"/>
              <w:right w:val="single" w:color="auto" w:sz="4" w:space="0"/>
            </w:tcBorders>
            <w:vAlign w:val="center"/>
          </w:tcPr>
          <w:p w14:paraId="7A5EDF4A">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城市化污水处理</w:t>
            </w:r>
          </w:p>
        </w:tc>
        <w:tc>
          <w:tcPr>
            <w:tcW w:w="984" w:type="dxa"/>
            <w:tcBorders>
              <w:top w:val="single" w:color="auto" w:sz="4" w:space="0"/>
              <w:left w:val="single" w:color="auto" w:sz="4" w:space="0"/>
              <w:bottom w:val="single" w:color="auto" w:sz="4" w:space="0"/>
              <w:right w:val="single" w:color="auto" w:sz="4" w:space="0"/>
            </w:tcBorders>
            <w:vAlign w:val="center"/>
          </w:tcPr>
          <w:p w14:paraId="412E355F">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城市化污水处理</w:t>
            </w:r>
          </w:p>
        </w:tc>
        <w:tc>
          <w:tcPr>
            <w:tcW w:w="984" w:type="dxa"/>
            <w:tcBorders>
              <w:top w:val="single" w:color="auto" w:sz="4" w:space="0"/>
              <w:left w:val="single" w:color="auto" w:sz="4" w:space="0"/>
              <w:bottom w:val="single" w:color="auto" w:sz="4" w:space="0"/>
              <w:right w:val="single" w:color="auto" w:sz="4" w:space="0"/>
            </w:tcBorders>
            <w:vAlign w:val="center"/>
          </w:tcPr>
          <w:p w14:paraId="6D60923A">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城市化污水处理</w:t>
            </w:r>
          </w:p>
        </w:tc>
        <w:tc>
          <w:tcPr>
            <w:tcW w:w="984" w:type="dxa"/>
            <w:tcBorders>
              <w:top w:val="single" w:color="auto" w:sz="4" w:space="0"/>
              <w:left w:val="single" w:color="auto" w:sz="4" w:space="0"/>
              <w:bottom w:val="single" w:color="auto" w:sz="4" w:space="0"/>
              <w:right w:val="single" w:color="auto" w:sz="4" w:space="0"/>
            </w:tcBorders>
            <w:vAlign w:val="center"/>
          </w:tcPr>
          <w:p w14:paraId="7E43EEE2">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城市化污水处理</w:t>
            </w:r>
          </w:p>
        </w:tc>
        <w:tc>
          <w:tcPr>
            <w:tcW w:w="0" w:type="auto"/>
            <w:tcBorders>
              <w:top w:val="single" w:color="auto" w:sz="4" w:space="0"/>
              <w:left w:val="single" w:color="auto" w:sz="4" w:space="0"/>
              <w:bottom w:val="single" w:color="auto" w:sz="4" w:space="0"/>
              <w:right w:val="single" w:color="auto" w:sz="6" w:space="0"/>
            </w:tcBorders>
            <w:vAlign w:val="center"/>
          </w:tcPr>
          <w:p w14:paraId="57267B10">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r w14:paraId="7C69C0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right w:val="single" w:color="auto" w:sz="4" w:space="0"/>
            </w:tcBorders>
            <w:vAlign w:val="center"/>
          </w:tcPr>
          <w:p w14:paraId="421BB02A">
            <w:pPr>
              <w:adjustRightInd w:val="0"/>
              <w:snapToGrid w:val="0"/>
              <w:spacing w:line="240" w:lineRule="exact"/>
              <w:jc w:val="center"/>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D286B81">
            <w:pPr>
              <w:adjustRightInd w:val="0"/>
              <w:snapToGrid w:val="0"/>
              <w:spacing w:line="240" w:lineRule="exact"/>
              <w:jc w:val="center"/>
              <w:rPr>
                <w:rFonts w:ascii="仿宋" w:hAnsi="仿宋" w:eastAsia="仿宋" w:cs="仿宋"/>
                <w:sz w:val="24"/>
              </w:rPr>
            </w:pPr>
            <w:r>
              <w:rPr>
                <w:rFonts w:ascii="仿宋" w:hAnsi="仿宋" w:eastAsia="仿宋" w:cs="仿宋"/>
                <w:sz w:val="24"/>
              </w:rPr>
              <w:t>9</w:t>
            </w:r>
          </w:p>
        </w:tc>
        <w:tc>
          <w:tcPr>
            <w:tcW w:w="0" w:type="auto"/>
            <w:tcBorders>
              <w:top w:val="single" w:color="auto" w:sz="4" w:space="0"/>
              <w:left w:val="single" w:color="auto" w:sz="4" w:space="0"/>
              <w:bottom w:val="single" w:color="auto" w:sz="4" w:space="0"/>
              <w:right w:val="single" w:color="auto" w:sz="4" w:space="0"/>
            </w:tcBorders>
            <w:vAlign w:val="center"/>
          </w:tcPr>
          <w:p w14:paraId="5BC9E501">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氮氧化物排放量减少（%）#</w:t>
            </w:r>
          </w:p>
        </w:tc>
        <w:tc>
          <w:tcPr>
            <w:tcW w:w="984" w:type="dxa"/>
            <w:tcBorders>
              <w:top w:val="single" w:color="auto" w:sz="4" w:space="0"/>
              <w:left w:val="single" w:color="auto" w:sz="4" w:space="0"/>
              <w:bottom w:val="single" w:color="auto" w:sz="4" w:space="0"/>
              <w:right w:val="single" w:color="auto" w:sz="4" w:space="0"/>
            </w:tcBorders>
            <w:vAlign w:val="center"/>
          </w:tcPr>
          <w:p w14:paraId="22CC7EFF">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[2</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471DEE48">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4</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6FE5A68C">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6</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4BD8DD90">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8</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6ABA30CB">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10</w:t>
            </w:r>
            <w:r>
              <w:rPr>
                <w:rFonts w:ascii="仿宋" w:hAnsi="仿宋" w:eastAsia="仿宋" w:cs="仿宋"/>
                <w:bCs/>
                <w:sz w:val="24"/>
              </w:rPr>
              <w:t>]</w:t>
            </w:r>
          </w:p>
        </w:tc>
        <w:tc>
          <w:tcPr>
            <w:tcW w:w="0" w:type="auto"/>
            <w:tcBorders>
              <w:top w:val="single" w:color="auto" w:sz="4" w:space="0"/>
              <w:left w:val="single" w:color="auto" w:sz="4" w:space="0"/>
              <w:bottom w:val="single" w:color="auto" w:sz="4" w:space="0"/>
              <w:right w:val="single" w:color="auto" w:sz="6" w:space="0"/>
            </w:tcBorders>
            <w:vAlign w:val="center"/>
          </w:tcPr>
          <w:p w14:paraId="52448686">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61880E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right w:val="single" w:color="auto" w:sz="4" w:space="0"/>
            </w:tcBorders>
            <w:vAlign w:val="center"/>
          </w:tcPr>
          <w:p w14:paraId="39FF7089">
            <w:pPr>
              <w:widowControl/>
              <w:spacing w:line="240" w:lineRule="exact"/>
              <w:jc w:val="left"/>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AFD7358">
            <w:pPr>
              <w:adjustRightInd w:val="0"/>
              <w:snapToGrid w:val="0"/>
              <w:spacing w:line="240" w:lineRule="exact"/>
              <w:jc w:val="center"/>
              <w:rPr>
                <w:rFonts w:ascii="仿宋" w:hAnsi="仿宋" w:eastAsia="仿宋" w:cs="仿宋"/>
                <w:sz w:val="24"/>
              </w:rPr>
            </w:pPr>
            <w:r>
              <w:rPr>
                <w:rFonts w:ascii="仿宋" w:hAnsi="仿宋" w:eastAsia="仿宋" w:cs="仿宋"/>
                <w:sz w:val="24"/>
              </w:rPr>
              <w:t>10</w:t>
            </w:r>
          </w:p>
        </w:tc>
        <w:tc>
          <w:tcPr>
            <w:tcW w:w="0" w:type="auto"/>
            <w:tcBorders>
              <w:top w:val="single" w:color="auto" w:sz="4" w:space="0"/>
              <w:left w:val="single" w:color="auto" w:sz="4" w:space="0"/>
              <w:bottom w:val="single" w:color="auto" w:sz="4" w:space="0"/>
              <w:right w:val="single" w:color="auto" w:sz="4" w:space="0"/>
            </w:tcBorders>
            <w:vAlign w:val="center"/>
          </w:tcPr>
          <w:p w14:paraId="3C8FFE90">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挥发性有机物削减率（%）#</w:t>
            </w:r>
          </w:p>
        </w:tc>
        <w:tc>
          <w:tcPr>
            <w:tcW w:w="984" w:type="dxa"/>
            <w:tcBorders>
              <w:top w:val="single" w:color="auto" w:sz="4" w:space="0"/>
              <w:left w:val="single" w:color="auto" w:sz="4" w:space="0"/>
              <w:bottom w:val="single" w:color="auto" w:sz="4" w:space="0"/>
              <w:right w:val="single" w:color="auto" w:sz="4" w:space="0"/>
            </w:tcBorders>
            <w:vAlign w:val="center"/>
          </w:tcPr>
          <w:p w14:paraId="67B35AA4">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[2</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579729AB">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4</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6B788657">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6</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7564EE42">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8</w:t>
            </w:r>
            <w:r>
              <w:rPr>
                <w:rFonts w:ascii="仿宋" w:hAnsi="仿宋" w:eastAsia="仿宋" w:cs="仿宋"/>
                <w:bCs/>
                <w:sz w:val="24"/>
              </w:rPr>
              <w:t>]</w:t>
            </w:r>
          </w:p>
        </w:tc>
        <w:tc>
          <w:tcPr>
            <w:tcW w:w="984" w:type="dxa"/>
            <w:tcBorders>
              <w:top w:val="single" w:color="auto" w:sz="4" w:space="0"/>
              <w:left w:val="single" w:color="auto" w:sz="4" w:space="0"/>
              <w:bottom w:val="single" w:color="auto" w:sz="4" w:space="0"/>
              <w:right w:val="single" w:color="auto" w:sz="4" w:space="0"/>
            </w:tcBorders>
            <w:vAlign w:val="center"/>
          </w:tcPr>
          <w:p w14:paraId="4675B2FB">
            <w:pPr>
              <w:adjustRightInd w:val="0"/>
              <w:snapToGrid w:val="0"/>
              <w:spacing w:line="240" w:lineRule="exact"/>
              <w:jc w:val="center"/>
              <w:rPr>
                <w:rFonts w:ascii="仿宋" w:hAnsi="仿宋" w:eastAsia="仿宋" w:cs="仿宋"/>
                <w:bCs/>
                <w:sz w:val="24"/>
              </w:rPr>
            </w:pPr>
            <w:r>
              <w:rPr>
                <w:rFonts w:ascii="仿宋" w:hAnsi="仿宋" w:eastAsia="仿宋" w:cs="仿宋"/>
                <w:bCs/>
                <w:sz w:val="24"/>
              </w:rPr>
              <w:t>[</w:t>
            </w:r>
            <w:r>
              <w:rPr>
                <w:rFonts w:hint="eastAsia" w:ascii="仿宋" w:hAnsi="仿宋" w:eastAsia="仿宋" w:cs="仿宋"/>
                <w:bCs/>
                <w:sz w:val="24"/>
              </w:rPr>
              <w:t>10</w:t>
            </w:r>
            <w:r>
              <w:rPr>
                <w:rFonts w:ascii="仿宋" w:hAnsi="仿宋" w:eastAsia="仿宋" w:cs="仿宋"/>
                <w:bCs/>
                <w:sz w:val="24"/>
              </w:rPr>
              <w:t>]</w:t>
            </w:r>
          </w:p>
        </w:tc>
        <w:tc>
          <w:tcPr>
            <w:tcW w:w="0" w:type="auto"/>
            <w:tcBorders>
              <w:top w:val="single" w:color="auto" w:sz="4" w:space="0"/>
              <w:left w:val="single" w:color="auto" w:sz="4" w:space="0"/>
              <w:bottom w:val="single" w:color="auto" w:sz="4" w:space="0"/>
              <w:right w:val="single" w:color="auto" w:sz="6" w:space="0"/>
            </w:tcBorders>
            <w:vAlign w:val="center"/>
          </w:tcPr>
          <w:p w14:paraId="251EE28F">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1D59EA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right w:val="single" w:color="auto" w:sz="4" w:space="0"/>
            </w:tcBorders>
            <w:vAlign w:val="center"/>
          </w:tcPr>
          <w:p w14:paraId="7413620E">
            <w:pPr>
              <w:widowControl/>
              <w:spacing w:line="240" w:lineRule="exact"/>
              <w:jc w:val="left"/>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C6547C7">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1</w:t>
            </w:r>
          </w:p>
        </w:tc>
        <w:tc>
          <w:tcPr>
            <w:tcW w:w="0" w:type="auto"/>
            <w:tcBorders>
              <w:top w:val="single" w:color="auto" w:sz="4" w:space="0"/>
              <w:left w:val="single" w:color="auto" w:sz="4" w:space="0"/>
              <w:bottom w:val="single" w:color="auto" w:sz="4" w:space="0"/>
              <w:right w:val="single" w:color="auto" w:sz="4" w:space="0"/>
            </w:tcBorders>
            <w:vAlign w:val="center"/>
          </w:tcPr>
          <w:p w14:paraId="28167192">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化学需氧量排放量减少（%）#</w:t>
            </w:r>
          </w:p>
        </w:tc>
        <w:tc>
          <w:tcPr>
            <w:tcW w:w="984" w:type="dxa"/>
            <w:tcBorders>
              <w:top w:val="single" w:color="auto" w:sz="4" w:space="0"/>
              <w:left w:val="single" w:color="auto" w:sz="4" w:space="0"/>
              <w:bottom w:val="single" w:color="auto" w:sz="4" w:space="0"/>
              <w:right w:val="single" w:color="auto" w:sz="4" w:space="0"/>
            </w:tcBorders>
            <w:vAlign w:val="center"/>
          </w:tcPr>
          <w:p w14:paraId="7F93F8BB">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w:t>
            </w:r>
            <w:r>
              <w:rPr>
                <w:rFonts w:ascii="仿宋" w:hAnsi="仿宋" w:eastAsia="仿宋" w:cs="仿宋"/>
                <w:bCs/>
                <w:sz w:val="24"/>
              </w:rPr>
              <w:t>1]</w:t>
            </w:r>
          </w:p>
        </w:tc>
        <w:tc>
          <w:tcPr>
            <w:tcW w:w="984" w:type="dxa"/>
            <w:tcBorders>
              <w:top w:val="single" w:color="auto" w:sz="4" w:space="0"/>
              <w:left w:val="single" w:color="auto" w:sz="4" w:space="0"/>
              <w:bottom w:val="single" w:color="auto" w:sz="4" w:space="0"/>
              <w:right w:val="single" w:color="auto" w:sz="4" w:space="0"/>
            </w:tcBorders>
            <w:vAlign w:val="center"/>
          </w:tcPr>
          <w:p w14:paraId="6B1435FC">
            <w:pPr>
              <w:adjustRightInd w:val="0"/>
              <w:snapToGrid w:val="0"/>
              <w:spacing w:line="240" w:lineRule="exact"/>
              <w:jc w:val="center"/>
              <w:rPr>
                <w:rFonts w:ascii="仿宋" w:hAnsi="仿宋" w:eastAsia="仿宋" w:cs="仿宋"/>
                <w:bCs/>
                <w:sz w:val="24"/>
              </w:rPr>
            </w:pPr>
            <w:r>
              <w:rPr>
                <w:rFonts w:ascii="仿宋" w:hAnsi="仿宋" w:eastAsia="仿宋" w:cs="仿宋"/>
                <w:bCs/>
                <w:sz w:val="24"/>
              </w:rPr>
              <w:t>[2]</w:t>
            </w:r>
          </w:p>
        </w:tc>
        <w:tc>
          <w:tcPr>
            <w:tcW w:w="984" w:type="dxa"/>
            <w:tcBorders>
              <w:top w:val="single" w:color="auto" w:sz="4" w:space="0"/>
              <w:left w:val="single" w:color="auto" w:sz="4" w:space="0"/>
              <w:bottom w:val="single" w:color="auto" w:sz="4" w:space="0"/>
              <w:right w:val="single" w:color="auto" w:sz="4" w:space="0"/>
            </w:tcBorders>
            <w:vAlign w:val="center"/>
          </w:tcPr>
          <w:p w14:paraId="4865F8A8">
            <w:pPr>
              <w:adjustRightInd w:val="0"/>
              <w:snapToGrid w:val="0"/>
              <w:spacing w:line="240" w:lineRule="exact"/>
              <w:jc w:val="center"/>
              <w:rPr>
                <w:rFonts w:ascii="仿宋" w:hAnsi="仿宋" w:eastAsia="仿宋" w:cs="仿宋"/>
                <w:bCs/>
                <w:sz w:val="24"/>
              </w:rPr>
            </w:pPr>
            <w:r>
              <w:rPr>
                <w:rFonts w:ascii="仿宋" w:hAnsi="仿宋" w:eastAsia="仿宋" w:cs="仿宋"/>
                <w:bCs/>
                <w:sz w:val="24"/>
              </w:rPr>
              <w:t>[4]</w:t>
            </w:r>
          </w:p>
        </w:tc>
        <w:tc>
          <w:tcPr>
            <w:tcW w:w="984" w:type="dxa"/>
            <w:tcBorders>
              <w:top w:val="single" w:color="auto" w:sz="4" w:space="0"/>
              <w:left w:val="single" w:color="auto" w:sz="4" w:space="0"/>
              <w:bottom w:val="single" w:color="auto" w:sz="4" w:space="0"/>
              <w:right w:val="single" w:color="auto" w:sz="4" w:space="0"/>
            </w:tcBorders>
            <w:vAlign w:val="center"/>
          </w:tcPr>
          <w:p w14:paraId="34D0EC12">
            <w:pPr>
              <w:adjustRightInd w:val="0"/>
              <w:snapToGrid w:val="0"/>
              <w:spacing w:line="240" w:lineRule="exact"/>
              <w:jc w:val="center"/>
              <w:rPr>
                <w:rFonts w:ascii="仿宋" w:hAnsi="仿宋" w:eastAsia="仿宋" w:cs="仿宋"/>
                <w:bCs/>
                <w:sz w:val="24"/>
              </w:rPr>
            </w:pPr>
            <w:r>
              <w:rPr>
                <w:rFonts w:ascii="仿宋" w:hAnsi="仿宋" w:eastAsia="仿宋" w:cs="仿宋"/>
                <w:bCs/>
                <w:sz w:val="24"/>
              </w:rPr>
              <w:t>[6]</w:t>
            </w:r>
          </w:p>
        </w:tc>
        <w:tc>
          <w:tcPr>
            <w:tcW w:w="984" w:type="dxa"/>
            <w:tcBorders>
              <w:top w:val="single" w:color="auto" w:sz="4" w:space="0"/>
              <w:left w:val="single" w:color="auto" w:sz="4" w:space="0"/>
              <w:bottom w:val="single" w:color="auto" w:sz="4" w:space="0"/>
              <w:right w:val="single" w:color="auto" w:sz="4" w:space="0"/>
            </w:tcBorders>
            <w:vAlign w:val="center"/>
          </w:tcPr>
          <w:p w14:paraId="26B35B59">
            <w:pPr>
              <w:adjustRightInd w:val="0"/>
              <w:snapToGrid w:val="0"/>
              <w:spacing w:line="240" w:lineRule="exact"/>
              <w:jc w:val="center"/>
              <w:rPr>
                <w:rFonts w:ascii="仿宋" w:hAnsi="仿宋" w:eastAsia="仿宋" w:cs="仿宋"/>
                <w:bCs/>
                <w:sz w:val="24"/>
              </w:rPr>
            </w:pPr>
            <w:r>
              <w:rPr>
                <w:rFonts w:ascii="仿宋" w:hAnsi="仿宋" w:eastAsia="仿宋" w:cs="仿宋"/>
                <w:bCs/>
                <w:sz w:val="24"/>
              </w:rPr>
              <w:t>[8]</w:t>
            </w:r>
          </w:p>
        </w:tc>
        <w:tc>
          <w:tcPr>
            <w:tcW w:w="0" w:type="auto"/>
            <w:tcBorders>
              <w:top w:val="single" w:color="auto" w:sz="4" w:space="0"/>
              <w:left w:val="single" w:color="auto" w:sz="4" w:space="0"/>
              <w:bottom w:val="single" w:color="auto" w:sz="4" w:space="0"/>
              <w:right w:val="single" w:color="auto" w:sz="6" w:space="0"/>
            </w:tcBorders>
            <w:vAlign w:val="center"/>
          </w:tcPr>
          <w:p w14:paraId="135AFEE8">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36C7F3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bottom w:val="single" w:color="auto" w:sz="4" w:space="0"/>
              <w:right w:val="single" w:color="auto" w:sz="4" w:space="0"/>
            </w:tcBorders>
            <w:vAlign w:val="center"/>
          </w:tcPr>
          <w:p w14:paraId="5E8C18B3">
            <w:pPr>
              <w:widowControl/>
              <w:spacing w:line="240" w:lineRule="exact"/>
              <w:jc w:val="left"/>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A9F07C3">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2</w:t>
            </w:r>
          </w:p>
        </w:tc>
        <w:tc>
          <w:tcPr>
            <w:tcW w:w="0" w:type="auto"/>
            <w:tcBorders>
              <w:top w:val="single" w:color="auto" w:sz="4" w:space="0"/>
              <w:left w:val="single" w:color="auto" w:sz="4" w:space="0"/>
              <w:bottom w:val="single" w:color="auto" w:sz="4" w:space="0"/>
              <w:right w:val="single" w:color="auto" w:sz="4" w:space="0"/>
            </w:tcBorders>
            <w:vAlign w:val="center"/>
          </w:tcPr>
          <w:p w14:paraId="5D7F0AB8">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氨氮排放量减少（%）#</w:t>
            </w:r>
          </w:p>
        </w:tc>
        <w:tc>
          <w:tcPr>
            <w:tcW w:w="984" w:type="dxa"/>
            <w:tcBorders>
              <w:top w:val="single" w:color="auto" w:sz="4" w:space="0"/>
              <w:left w:val="single" w:color="auto" w:sz="4" w:space="0"/>
              <w:bottom w:val="single" w:color="auto" w:sz="4" w:space="0"/>
              <w:right w:val="single" w:color="auto" w:sz="4" w:space="0"/>
            </w:tcBorders>
            <w:vAlign w:val="center"/>
          </w:tcPr>
          <w:p w14:paraId="5A0BFCF9">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w:t>
            </w:r>
            <w:r>
              <w:rPr>
                <w:rFonts w:ascii="仿宋" w:hAnsi="仿宋" w:eastAsia="仿宋" w:cs="仿宋"/>
                <w:bCs/>
                <w:sz w:val="24"/>
              </w:rPr>
              <w:t>1]</w:t>
            </w:r>
          </w:p>
        </w:tc>
        <w:tc>
          <w:tcPr>
            <w:tcW w:w="984" w:type="dxa"/>
            <w:tcBorders>
              <w:top w:val="single" w:color="auto" w:sz="4" w:space="0"/>
              <w:left w:val="single" w:color="auto" w:sz="4" w:space="0"/>
              <w:bottom w:val="single" w:color="auto" w:sz="4" w:space="0"/>
              <w:right w:val="single" w:color="auto" w:sz="4" w:space="0"/>
            </w:tcBorders>
            <w:vAlign w:val="center"/>
          </w:tcPr>
          <w:p w14:paraId="0713674A">
            <w:pPr>
              <w:adjustRightInd w:val="0"/>
              <w:snapToGrid w:val="0"/>
              <w:spacing w:line="240" w:lineRule="exact"/>
              <w:jc w:val="center"/>
              <w:rPr>
                <w:rFonts w:ascii="仿宋" w:hAnsi="仿宋" w:eastAsia="仿宋" w:cs="仿宋"/>
                <w:bCs/>
                <w:sz w:val="24"/>
              </w:rPr>
            </w:pPr>
            <w:r>
              <w:rPr>
                <w:rFonts w:ascii="仿宋" w:hAnsi="仿宋" w:eastAsia="仿宋" w:cs="仿宋"/>
                <w:bCs/>
                <w:sz w:val="24"/>
              </w:rPr>
              <w:t>[2]</w:t>
            </w:r>
          </w:p>
        </w:tc>
        <w:tc>
          <w:tcPr>
            <w:tcW w:w="984" w:type="dxa"/>
            <w:tcBorders>
              <w:top w:val="single" w:color="auto" w:sz="4" w:space="0"/>
              <w:left w:val="single" w:color="auto" w:sz="4" w:space="0"/>
              <w:bottom w:val="single" w:color="auto" w:sz="4" w:space="0"/>
              <w:right w:val="single" w:color="auto" w:sz="4" w:space="0"/>
            </w:tcBorders>
            <w:vAlign w:val="center"/>
          </w:tcPr>
          <w:p w14:paraId="4D7846A4">
            <w:pPr>
              <w:adjustRightInd w:val="0"/>
              <w:snapToGrid w:val="0"/>
              <w:spacing w:line="240" w:lineRule="exact"/>
              <w:jc w:val="center"/>
              <w:rPr>
                <w:rFonts w:ascii="仿宋" w:hAnsi="仿宋" w:eastAsia="仿宋" w:cs="仿宋"/>
                <w:bCs/>
                <w:sz w:val="24"/>
              </w:rPr>
            </w:pPr>
            <w:r>
              <w:rPr>
                <w:rFonts w:ascii="仿宋" w:hAnsi="仿宋" w:eastAsia="仿宋" w:cs="仿宋"/>
                <w:bCs/>
                <w:sz w:val="24"/>
              </w:rPr>
              <w:t>[4]</w:t>
            </w:r>
          </w:p>
        </w:tc>
        <w:tc>
          <w:tcPr>
            <w:tcW w:w="984" w:type="dxa"/>
            <w:tcBorders>
              <w:top w:val="single" w:color="auto" w:sz="4" w:space="0"/>
              <w:left w:val="single" w:color="auto" w:sz="4" w:space="0"/>
              <w:bottom w:val="single" w:color="auto" w:sz="4" w:space="0"/>
              <w:right w:val="single" w:color="auto" w:sz="4" w:space="0"/>
            </w:tcBorders>
            <w:vAlign w:val="center"/>
          </w:tcPr>
          <w:p w14:paraId="1607785A">
            <w:pPr>
              <w:adjustRightInd w:val="0"/>
              <w:snapToGrid w:val="0"/>
              <w:spacing w:line="240" w:lineRule="exact"/>
              <w:jc w:val="center"/>
              <w:rPr>
                <w:rFonts w:ascii="仿宋" w:hAnsi="仿宋" w:eastAsia="仿宋" w:cs="仿宋"/>
                <w:bCs/>
                <w:sz w:val="24"/>
              </w:rPr>
            </w:pPr>
            <w:r>
              <w:rPr>
                <w:rFonts w:ascii="仿宋" w:hAnsi="仿宋" w:eastAsia="仿宋" w:cs="仿宋"/>
                <w:bCs/>
                <w:sz w:val="24"/>
              </w:rPr>
              <w:t>[6]</w:t>
            </w:r>
          </w:p>
        </w:tc>
        <w:tc>
          <w:tcPr>
            <w:tcW w:w="984" w:type="dxa"/>
            <w:tcBorders>
              <w:top w:val="single" w:color="auto" w:sz="4" w:space="0"/>
              <w:left w:val="single" w:color="auto" w:sz="4" w:space="0"/>
              <w:bottom w:val="single" w:color="auto" w:sz="4" w:space="0"/>
              <w:right w:val="single" w:color="auto" w:sz="4" w:space="0"/>
            </w:tcBorders>
            <w:vAlign w:val="center"/>
          </w:tcPr>
          <w:p w14:paraId="1BAD86D0">
            <w:pPr>
              <w:adjustRightInd w:val="0"/>
              <w:snapToGrid w:val="0"/>
              <w:spacing w:line="240" w:lineRule="exact"/>
              <w:jc w:val="center"/>
              <w:rPr>
                <w:rFonts w:ascii="仿宋" w:hAnsi="仿宋" w:eastAsia="仿宋" w:cs="仿宋"/>
                <w:bCs/>
                <w:sz w:val="24"/>
              </w:rPr>
            </w:pPr>
            <w:r>
              <w:rPr>
                <w:rFonts w:ascii="仿宋" w:hAnsi="仿宋" w:eastAsia="仿宋" w:cs="仿宋"/>
                <w:bCs/>
                <w:sz w:val="24"/>
              </w:rPr>
              <w:t>[8]</w:t>
            </w:r>
          </w:p>
        </w:tc>
        <w:tc>
          <w:tcPr>
            <w:tcW w:w="0" w:type="auto"/>
            <w:tcBorders>
              <w:top w:val="single" w:color="auto" w:sz="4" w:space="0"/>
              <w:left w:val="single" w:color="auto" w:sz="4" w:space="0"/>
              <w:bottom w:val="single" w:color="auto" w:sz="4" w:space="0"/>
              <w:right w:val="single" w:color="auto" w:sz="6" w:space="0"/>
            </w:tcBorders>
            <w:vAlign w:val="center"/>
          </w:tcPr>
          <w:p w14:paraId="6C50ED7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747E3B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nil"/>
              <w:left w:val="single" w:color="auto" w:sz="6" w:space="0"/>
              <w:bottom w:val="single" w:color="auto" w:sz="4" w:space="0"/>
              <w:right w:val="single" w:color="auto" w:sz="4" w:space="0"/>
            </w:tcBorders>
            <w:vAlign w:val="center"/>
          </w:tcPr>
          <w:p w14:paraId="6767F9B7">
            <w:pPr>
              <w:widowControl/>
              <w:spacing w:line="240" w:lineRule="exact"/>
              <w:jc w:val="left"/>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DFB4ED5">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3</w:t>
            </w:r>
          </w:p>
        </w:tc>
        <w:tc>
          <w:tcPr>
            <w:tcW w:w="0" w:type="auto"/>
            <w:tcBorders>
              <w:top w:val="single" w:color="auto" w:sz="4" w:space="0"/>
              <w:left w:val="single" w:color="auto" w:sz="4" w:space="0"/>
              <w:bottom w:val="single" w:color="auto" w:sz="4" w:space="0"/>
              <w:right w:val="single" w:color="auto" w:sz="4" w:space="0"/>
            </w:tcBorders>
            <w:vAlign w:val="center"/>
          </w:tcPr>
          <w:p w14:paraId="07052B12">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单位地区生产总值用水量降低（%）#</w:t>
            </w:r>
          </w:p>
        </w:tc>
        <w:tc>
          <w:tcPr>
            <w:tcW w:w="984" w:type="dxa"/>
            <w:tcBorders>
              <w:top w:val="single" w:color="auto" w:sz="4" w:space="0"/>
              <w:left w:val="single" w:color="auto" w:sz="4" w:space="0"/>
              <w:bottom w:val="single" w:color="auto" w:sz="4" w:space="0"/>
              <w:right w:val="single" w:color="auto" w:sz="4" w:space="0"/>
            </w:tcBorders>
            <w:vAlign w:val="center"/>
          </w:tcPr>
          <w:p w14:paraId="24963C28">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w:t>
            </w:r>
            <w:r>
              <w:rPr>
                <w:rFonts w:ascii="仿宋" w:hAnsi="仿宋" w:eastAsia="仿宋" w:cs="仿宋"/>
                <w:bCs/>
                <w:sz w:val="24"/>
              </w:rPr>
              <w:t>0.4]</w:t>
            </w:r>
          </w:p>
        </w:tc>
        <w:tc>
          <w:tcPr>
            <w:tcW w:w="984" w:type="dxa"/>
            <w:tcBorders>
              <w:top w:val="single" w:color="auto" w:sz="4" w:space="0"/>
              <w:left w:val="single" w:color="auto" w:sz="4" w:space="0"/>
              <w:bottom w:val="single" w:color="auto" w:sz="4" w:space="0"/>
              <w:right w:val="single" w:color="auto" w:sz="4" w:space="0"/>
            </w:tcBorders>
            <w:vAlign w:val="center"/>
          </w:tcPr>
          <w:p w14:paraId="79ED0F49">
            <w:pPr>
              <w:adjustRightInd w:val="0"/>
              <w:snapToGrid w:val="0"/>
              <w:spacing w:line="240" w:lineRule="exact"/>
              <w:jc w:val="center"/>
              <w:rPr>
                <w:rFonts w:ascii="仿宋" w:hAnsi="仿宋" w:eastAsia="仿宋" w:cs="仿宋"/>
                <w:bCs/>
                <w:sz w:val="24"/>
              </w:rPr>
            </w:pPr>
            <w:r>
              <w:rPr>
                <w:rFonts w:ascii="仿宋" w:hAnsi="仿宋" w:eastAsia="仿宋" w:cs="仿宋"/>
                <w:bCs/>
                <w:sz w:val="24"/>
              </w:rPr>
              <w:t>[0.8]</w:t>
            </w:r>
          </w:p>
        </w:tc>
        <w:tc>
          <w:tcPr>
            <w:tcW w:w="984" w:type="dxa"/>
            <w:tcBorders>
              <w:top w:val="single" w:color="auto" w:sz="4" w:space="0"/>
              <w:left w:val="single" w:color="auto" w:sz="4" w:space="0"/>
              <w:bottom w:val="single" w:color="auto" w:sz="4" w:space="0"/>
              <w:right w:val="single" w:color="auto" w:sz="4" w:space="0"/>
            </w:tcBorders>
            <w:vAlign w:val="center"/>
          </w:tcPr>
          <w:p w14:paraId="30AB7B8E">
            <w:pPr>
              <w:adjustRightInd w:val="0"/>
              <w:snapToGrid w:val="0"/>
              <w:spacing w:line="240" w:lineRule="exact"/>
              <w:jc w:val="center"/>
              <w:rPr>
                <w:rFonts w:ascii="仿宋" w:hAnsi="仿宋" w:eastAsia="仿宋" w:cs="仿宋"/>
                <w:bCs/>
                <w:sz w:val="24"/>
              </w:rPr>
            </w:pPr>
            <w:r>
              <w:rPr>
                <w:rFonts w:ascii="仿宋" w:hAnsi="仿宋" w:eastAsia="仿宋" w:cs="仿宋"/>
                <w:bCs/>
                <w:sz w:val="24"/>
              </w:rPr>
              <w:t>[1.2]</w:t>
            </w:r>
          </w:p>
        </w:tc>
        <w:tc>
          <w:tcPr>
            <w:tcW w:w="984" w:type="dxa"/>
            <w:tcBorders>
              <w:top w:val="single" w:color="auto" w:sz="4" w:space="0"/>
              <w:left w:val="single" w:color="auto" w:sz="4" w:space="0"/>
              <w:bottom w:val="single" w:color="auto" w:sz="4" w:space="0"/>
              <w:right w:val="single" w:color="auto" w:sz="4" w:space="0"/>
            </w:tcBorders>
            <w:vAlign w:val="center"/>
          </w:tcPr>
          <w:p w14:paraId="6AEC333A">
            <w:pPr>
              <w:adjustRightInd w:val="0"/>
              <w:snapToGrid w:val="0"/>
              <w:spacing w:line="240" w:lineRule="exact"/>
              <w:jc w:val="center"/>
              <w:rPr>
                <w:rFonts w:ascii="仿宋" w:hAnsi="仿宋" w:eastAsia="仿宋" w:cs="仿宋"/>
                <w:bCs/>
                <w:sz w:val="24"/>
              </w:rPr>
            </w:pPr>
            <w:r>
              <w:rPr>
                <w:rFonts w:ascii="仿宋" w:hAnsi="仿宋" w:eastAsia="仿宋" w:cs="仿宋"/>
                <w:bCs/>
                <w:sz w:val="24"/>
              </w:rPr>
              <w:t>[1.6]</w:t>
            </w:r>
          </w:p>
        </w:tc>
        <w:tc>
          <w:tcPr>
            <w:tcW w:w="984" w:type="dxa"/>
            <w:tcBorders>
              <w:top w:val="single" w:color="auto" w:sz="4" w:space="0"/>
              <w:left w:val="single" w:color="auto" w:sz="4" w:space="0"/>
              <w:bottom w:val="single" w:color="auto" w:sz="4" w:space="0"/>
              <w:right w:val="single" w:color="auto" w:sz="4" w:space="0"/>
            </w:tcBorders>
            <w:vAlign w:val="center"/>
          </w:tcPr>
          <w:p w14:paraId="5E241451">
            <w:pPr>
              <w:adjustRightInd w:val="0"/>
              <w:snapToGrid w:val="0"/>
              <w:spacing w:line="240" w:lineRule="exact"/>
              <w:jc w:val="center"/>
              <w:rPr>
                <w:rFonts w:ascii="仿宋" w:hAnsi="仿宋" w:eastAsia="仿宋" w:cs="仿宋"/>
                <w:bCs/>
                <w:sz w:val="24"/>
              </w:rPr>
            </w:pPr>
            <w:r>
              <w:rPr>
                <w:rFonts w:ascii="仿宋" w:hAnsi="仿宋" w:eastAsia="仿宋" w:cs="仿宋"/>
                <w:bCs/>
                <w:sz w:val="24"/>
              </w:rPr>
              <w:t>[2]</w:t>
            </w:r>
          </w:p>
        </w:tc>
        <w:tc>
          <w:tcPr>
            <w:tcW w:w="0" w:type="auto"/>
            <w:tcBorders>
              <w:top w:val="single" w:color="auto" w:sz="4" w:space="0"/>
              <w:left w:val="single" w:color="auto" w:sz="4" w:space="0"/>
              <w:bottom w:val="single" w:color="auto" w:sz="4" w:space="0"/>
              <w:right w:val="single" w:color="auto" w:sz="6" w:space="0"/>
            </w:tcBorders>
            <w:vAlign w:val="center"/>
          </w:tcPr>
          <w:p w14:paraId="146AFB95">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1DED60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restart"/>
            <w:tcBorders>
              <w:top w:val="single" w:color="auto" w:sz="4" w:space="0"/>
              <w:left w:val="single" w:color="auto" w:sz="6" w:space="0"/>
              <w:bottom w:val="single" w:color="auto" w:sz="4" w:space="0"/>
              <w:right w:val="single" w:color="auto" w:sz="4" w:space="0"/>
            </w:tcBorders>
            <w:vAlign w:val="center"/>
          </w:tcPr>
          <w:p w14:paraId="6C196531">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应对气候</w:t>
            </w:r>
          </w:p>
          <w:p w14:paraId="156A898B">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变化指标</w:t>
            </w:r>
          </w:p>
        </w:tc>
        <w:tc>
          <w:tcPr>
            <w:tcW w:w="0" w:type="auto"/>
            <w:tcBorders>
              <w:top w:val="single" w:color="auto" w:sz="4" w:space="0"/>
              <w:left w:val="single" w:color="auto" w:sz="4" w:space="0"/>
              <w:bottom w:val="single" w:color="auto" w:sz="4" w:space="0"/>
              <w:right w:val="single" w:color="auto" w:sz="4" w:space="0"/>
            </w:tcBorders>
            <w:vAlign w:val="center"/>
          </w:tcPr>
          <w:p w14:paraId="6D1F0CA7">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4</w:t>
            </w:r>
          </w:p>
        </w:tc>
        <w:tc>
          <w:tcPr>
            <w:tcW w:w="0" w:type="auto"/>
            <w:tcBorders>
              <w:top w:val="single" w:color="auto" w:sz="4" w:space="0"/>
              <w:left w:val="single" w:color="auto" w:sz="4" w:space="0"/>
              <w:bottom w:val="single" w:color="auto" w:sz="4" w:space="0"/>
              <w:right w:val="single" w:color="auto" w:sz="4" w:space="0"/>
            </w:tcBorders>
            <w:vAlign w:val="center"/>
          </w:tcPr>
          <w:p w14:paraId="481154BC">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单位地区生产总值二氧化碳排放降低（%）#</w:t>
            </w:r>
          </w:p>
        </w:tc>
        <w:tc>
          <w:tcPr>
            <w:tcW w:w="984" w:type="dxa"/>
            <w:tcBorders>
              <w:top w:val="single" w:color="auto" w:sz="4" w:space="0"/>
              <w:left w:val="single" w:color="auto" w:sz="4" w:space="0"/>
              <w:bottom w:val="single" w:color="auto" w:sz="4" w:space="0"/>
              <w:right w:val="single" w:color="auto" w:sz="4" w:space="0"/>
            </w:tcBorders>
            <w:vAlign w:val="center"/>
          </w:tcPr>
          <w:p w14:paraId="0A620B1C">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w:t>
            </w:r>
            <w:r>
              <w:rPr>
                <w:rFonts w:ascii="仿宋" w:hAnsi="仿宋" w:eastAsia="仿宋" w:cs="仿宋"/>
                <w:bCs/>
                <w:sz w:val="24"/>
              </w:rPr>
              <w:t>6]</w:t>
            </w:r>
          </w:p>
        </w:tc>
        <w:tc>
          <w:tcPr>
            <w:tcW w:w="984" w:type="dxa"/>
            <w:tcBorders>
              <w:top w:val="single" w:color="auto" w:sz="4" w:space="0"/>
              <w:left w:val="single" w:color="auto" w:sz="4" w:space="0"/>
              <w:bottom w:val="single" w:color="auto" w:sz="4" w:space="0"/>
              <w:right w:val="single" w:color="auto" w:sz="4" w:space="0"/>
            </w:tcBorders>
            <w:vAlign w:val="center"/>
          </w:tcPr>
          <w:p w14:paraId="4C1DF589">
            <w:pPr>
              <w:adjustRightInd w:val="0"/>
              <w:snapToGrid w:val="0"/>
              <w:spacing w:line="240" w:lineRule="exact"/>
              <w:jc w:val="center"/>
              <w:rPr>
                <w:rFonts w:ascii="仿宋" w:hAnsi="仿宋" w:eastAsia="仿宋" w:cs="仿宋"/>
                <w:bCs/>
                <w:sz w:val="24"/>
              </w:rPr>
            </w:pPr>
            <w:r>
              <w:rPr>
                <w:rFonts w:ascii="仿宋" w:hAnsi="仿宋" w:eastAsia="仿宋" w:cs="仿宋"/>
                <w:bCs/>
                <w:sz w:val="24"/>
              </w:rPr>
              <w:t>[8]</w:t>
            </w:r>
          </w:p>
        </w:tc>
        <w:tc>
          <w:tcPr>
            <w:tcW w:w="984" w:type="dxa"/>
            <w:tcBorders>
              <w:top w:val="single" w:color="auto" w:sz="4" w:space="0"/>
              <w:left w:val="single" w:color="auto" w:sz="4" w:space="0"/>
              <w:bottom w:val="single" w:color="auto" w:sz="4" w:space="0"/>
              <w:right w:val="single" w:color="auto" w:sz="4" w:space="0"/>
            </w:tcBorders>
            <w:vAlign w:val="center"/>
          </w:tcPr>
          <w:p w14:paraId="566CEF20">
            <w:pPr>
              <w:adjustRightInd w:val="0"/>
              <w:snapToGrid w:val="0"/>
              <w:spacing w:line="240" w:lineRule="exact"/>
              <w:jc w:val="center"/>
              <w:rPr>
                <w:rFonts w:ascii="仿宋" w:hAnsi="仿宋" w:eastAsia="仿宋" w:cs="仿宋"/>
                <w:bCs/>
                <w:sz w:val="24"/>
              </w:rPr>
            </w:pPr>
            <w:r>
              <w:rPr>
                <w:rFonts w:ascii="仿宋" w:hAnsi="仿宋" w:eastAsia="仿宋" w:cs="仿宋"/>
                <w:bCs/>
                <w:sz w:val="24"/>
              </w:rPr>
              <w:t>[10]</w:t>
            </w:r>
          </w:p>
        </w:tc>
        <w:tc>
          <w:tcPr>
            <w:tcW w:w="984" w:type="dxa"/>
            <w:tcBorders>
              <w:top w:val="single" w:color="auto" w:sz="4" w:space="0"/>
              <w:left w:val="single" w:color="auto" w:sz="4" w:space="0"/>
              <w:bottom w:val="single" w:color="auto" w:sz="4" w:space="0"/>
              <w:right w:val="single" w:color="auto" w:sz="4" w:space="0"/>
            </w:tcBorders>
            <w:vAlign w:val="center"/>
          </w:tcPr>
          <w:p w14:paraId="70B83F9E">
            <w:pPr>
              <w:adjustRightInd w:val="0"/>
              <w:snapToGrid w:val="0"/>
              <w:spacing w:line="240" w:lineRule="exact"/>
              <w:jc w:val="center"/>
              <w:rPr>
                <w:rFonts w:ascii="仿宋" w:hAnsi="仿宋" w:eastAsia="仿宋" w:cs="仿宋"/>
                <w:bCs/>
                <w:sz w:val="24"/>
              </w:rPr>
            </w:pPr>
            <w:r>
              <w:rPr>
                <w:rFonts w:ascii="仿宋" w:hAnsi="仿宋" w:eastAsia="仿宋" w:cs="仿宋"/>
                <w:bCs/>
                <w:sz w:val="24"/>
              </w:rPr>
              <w:t>[12]</w:t>
            </w:r>
          </w:p>
        </w:tc>
        <w:tc>
          <w:tcPr>
            <w:tcW w:w="984" w:type="dxa"/>
            <w:tcBorders>
              <w:top w:val="single" w:color="auto" w:sz="4" w:space="0"/>
              <w:left w:val="single" w:color="auto" w:sz="4" w:space="0"/>
              <w:bottom w:val="single" w:color="auto" w:sz="4" w:space="0"/>
              <w:right w:val="single" w:color="auto" w:sz="4" w:space="0"/>
            </w:tcBorders>
            <w:vAlign w:val="center"/>
          </w:tcPr>
          <w:p w14:paraId="1F9BC488">
            <w:pPr>
              <w:adjustRightInd w:val="0"/>
              <w:snapToGrid w:val="0"/>
              <w:spacing w:line="240" w:lineRule="exact"/>
              <w:jc w:val="center"/>
              <w:rPr>
                <w:rFonts w:ascii="仿宋" w:hAnsi="仿宋" w:eastAsia="仿宋" w:cs="仿宋"/>
                <w:bCs/>
                <w:sz w:val="24"/>
              </w:rPr>
            </w:pPr>
            <w:r>
              <w:rPr>
                <w:rFonts w:ascii="仿宋" w:hAnsi="仿宋" w:eastAsia="仿宋" w:cs="仿宋"/>
                <w:bCs/>
                <w:sz w:val="24"/>
              </w:rPr>
              <w:t>[15]</w:t>
            </w:r>
          </w:p>
        </w:tc>
        <w:tc>
          <w:tcPr>
            <w:tcW w:w="0" w:type="auto"/>
            <w:tcBorders>
              <w:top w:val="single" w:color="auto" w:sz="4" w:space="0"/>
              <w:left w:val="single" w:color="auto" w:sz="4" w:space="0"/>
              <w:bottom w:val="single" w:color="auto" w:sz="4" w:space="0"/>
              <w:right w:val="single" w:color="auto" w:sz="6" w:space="0"/>
            </w:tcBorders>
            <w:vAlign w:val="center"/>
          </w:tcPr>
          <w:p w14:paraId="492D538A">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2DB5CA5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6" w:space="0"/>
              <w:bottom w:val="single" w:color="auto" w:sz="4" w:space="0"/>
              <w:right w:val="single" w:color="auto" w:sz="4" w:space="0"/>
            </w:tcBorders>
            <w:vAlign w:val="center"/>
          </w:tcPr>
          <w:p w14:paraId="3E86D0C6">
            <w:pPr>
              <w:widowControl/>
              <w:spacing w:line="240" w:lineRule="exact"/>
              <w:jc w:val="left"/>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AE844E0">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5</w:t>
            </w:r>
          </w:p>
        </w:tc>
        <w:tc>
          <w:tcPr>
            <w:tcW w:w="0" w:type="auto"/>
            <w:tcBorders>
              <w:top w:val="single" w:color="auto" w:sz="4" w:space="0"/>
              <w:left w:val="single" w:color="auto" w:sz="4" w:space="0"/>
              <w:bottom w:val="single" w:color="auto" w:sz="4" w:space="0"/>
              <w:right w:val="single" w:color="auto" w:sz="4" w:space="0"/>
            </w:tcBorders>
            <w:vAlign w:val="center"/>
          </w:tcPr>
          <w:p w14:paraId="2311D86D">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单位地区生产总值能源消费降低（%）#</w:t>
            </w:r>
          </w:p>
        </w:tc>
        <w:tc>
          <w:tcPr>
            <w:tcW w:w="984" w:type="dxa"/>
            <w:tcBorders>
              <w:top w:val="single" w:color="auto" w:sz="4" w:space="0"/>
              <w:left w:val="single" w:color="auto" w:sz="4" w:space="0"/>
              <w:bottom w:val="single" w:color="auto" w:sz="4" w:space="0"/>
              <w:right w:val="single" w:color="auto" w:sz="4" w:space="0"/>
            </w:tcBorders>
            <w:vAlign w:val="center"/>
          </w:tcPr>
          <w:p w14:paraId="527504F3">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w:t>
            </w:r>
            <w:r>
              <w:rPr>
                <w:rFonts w:ascii="仿宋" w:hAnsi="仿宋" w:eastAsia="仿宋" w:cs="仿宋"/>
                <w:bCs/>
                <w:sz w:val="24"/>
              </w:rPr>
              <w:t>4]</w:t>
            </w:r>
          </w:p>
        </w:tc>
        <w:tc>
          <w:tcPr>
            <w:tcW w:w="984" w:type="dxa"/>
            <w:tcBorders>
              <w:top w:val="single" w:color="auto" w:sz="4" w:space="0"/>
              <w:left w:val="single" w:color="auto" w:sz="4" w:space="0"/>
              <w:bottom w:val="single" w:color="auto" w:sz="4" w:space="0"/>
              <w:right w:val="single" w:color="auto" w:sz="4" w:space="0"/>
            </w:tcBorders>
            <w:vAlign w:val="center"/>
          </w:tcPr>
          <w:p w14:paraId="290B39B2">
            <w:pPr>
              <w:adjustRightInd w:val="0"/>
              <w:snapToGrid w:val="0"/>
              <w:spacing w:line="240" w:lineRule="exact"/>
              <w:jc w:val="center"/>
              <w:rPr>
                <w:rFonts w:ascii="仿宋" w:hAnsi="仿宋" w:eastAsia="仿宋" w:cs="仿宋"/>
                <w:bCs/>
                <w:sz w:val="24"/>
              </w:rPr>
            </w:pPr>
            <w:r>
              <w:rPr>
                <w:rFonts w:ascii="仿宋" w:hAnsi="仿宋" w:eastAsia="仿宋" w:cs="仿宋"/>
                <w:bCs/>
                <w:sz w:val="24"/>
              </w:rPr>
              <w:t>[6]</w:t>
            </w:r>
          </w:p>
        </w:tc>
        <w:tc>
          <w:tcPr>
            <w:tcW w:w="984" w:type="dxa"/>
            <w:tcBorders>
              <w:top w:val="single" w:color="auto" w:sz="4" w:space="0"/>
              <w:left w:val="single" w:color="auto" w:sz="4" w:space="0"/>
              <w:bottom w:val="single" w:color="auto" w:sz="4" w:space="0"/>
              <w:right w:val="single" w:color="auto" w:sz="4" w:space="0"/>
            </w:tcBorders>
            <w:vAlign w:val="center"/>
          </w:tcPr>
          <w:p w14:paraId="684F8CE3">
            <w:pPr>
              <w:adjustRightInd w:val="0"/>
              <w:snapToGrid w:val="0"/>
              <w:spacing w:line="240" w:lineRule="exact"/>
              <w:jc w:val="center"/>
              <w:rPr>
                <w:rFonts w:ascii="仿宋" w:hAnsi="仿宋" w:eastAsia="仿宋" w:cs="仿宋"/>
                <w:bCs/>
                <w:sz w:val="24"/>
              </w:rPr>
            </w:pPr>
            <w:r>
              <w:rPr>
                <w:rFonts w:ascii="仿宋" w:hAnsi="仿宋" w:eastAsia="仿宋" w:cs="仿宋"/>
                <w:bCs/>
                <w:sz w:val="24"/>
              </w:rPr>
              <w:t>[8]</w:t>
            </w:r>
          </w:p>
        </w:tc>
        <w:tc>
          <w:tcPr>
            <w:tcW w:w="984" w:type="dxa"/>
            <w:tcBorders>
              <w:top w:val="single" w:color="auto" w:sz="4" w:space="0"/>
              <w:left w:val="single" w:color="auto" w:sz="4" w:space="0"/>
              <w:bottom w:val="single" w:color="auto" w:sz="4" w:space="0"/>
              <w:right w:val="single" w:color="auto" w:sz="4" w:space="0"/>
            </w:tcBorders>
            <w:vAlign w:val="center"/>
          </w:tcPr>
          <w:p w14:paraId="68CE64D7">
            <w:pPr>
              <w:adjustRightInd w:val="0"/>
              <w:snapToGrid w:val="0"/>
              <w:spacing w:line="240" w:lineRule="exact"/>
              <w:jc w:val="center"/>
              <w:rPr>
                <w:rFonts w:ascii="仿宋" w:hAnsi="仿宋" w:eastAsia="仿宋" w:cs="仿宋"/>
                <w:bCs/>
                <w:sz w:val="24"/>
              </w:rPr>
            </w:pPr>
            <w:r>
              <w:rPr>
                <w:rFonts w:ascii="仿宋" w:hAnsi="仿宋" w:eastAsia="仿宋" w:cs="仿宋"/>
                <w:bCs/>
                <w:sz w:val="24"/>
              </w:rPr>
              <w:t>[10]</w:t>
            </w:r>
          </w:p>
        </w:tc>
        <w:tc>
          <w:tcPr>
            <w:tcW w:w="984" w:type="dxa"/>
            <w:tcBorders>
              <w:top w:val="single" w:color="auto" w:sz="4" w:space="0"/>
              <w:left w:val="single" w:color="auto" w:sz="4" w:space="0"/>
              <w:bottom w:val="single" w:color="auto" w:sz="4" w:space="0"/>
              <w:right w:val="single" w:color="auto" w:sz="4" w:space="0"/>
            </w:tcBorders>
            <w:vAlign w:val="center"/>
          </w:tcPr>
          <w:p w14:paraId="44CFDBEB">
            <w:pPr>
              <w:adjustRightInd w:val="0"/>
              <w:snapToGrid w:val="0"/>
              <w:spacing w:line="240" w:lineRule="exact"/>
              <w:jc w:val="center"/>
              <w:rPr>
                <w:rFonts w:ascii="仿宋" w:hAnsi="仿宋" w:eastAsia="仿宋" w:cs="仿宋"/>
                <w:bCs/>
                <w:sz w:val="24"/>
              </w:rPr>
            </w:pPr>
            <w:r>
              <w:rPr>
                <w:rFonts w:ascii="仿宋" w:hAnsi="仿宋" w:eastAsia="仿宋" w:cs="仿宋"/>
                <w:bCs/>
                <w:sz w:val="24"/>
              </w:rPr>
              <w:t>[12]</w:t>
            </w:r>
          </w:p>
        </w:tc>
        <w:tc>
          <w:tcPr>
            <w:tcW w:w="0" w:type="auto"/>
            <w:tcBorders>
              <w:top w:val="single" w:color="auto" w:sz="4" w:space="0"/>
              <w:left w:val="single" w:color="auto" w:sz="4" w:space="0"/>
              <w:bottom w:val="single" w:color="auto" w:sz="4" w:space="0"/>
              <w:right w:val="single" w:color="auto" w:sz="6" w:space="0"/>
            </w:tcBorders>
            <w:vAlign w:val="center"/>
          </w:tcPr>
          <w:p w14:paraId="7DD5B407">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r w14:paraId="74D088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6" w:space="0"/>
              <w:bottom w:val="single" w:color="auto" w:sz="4" w:space="0"/>
              <w:right w:val="single" w:color="auto" w:sz="4" w:space="0"/>
            </w:tcBorders>
            <w:vAlign w:val="center"/>
          </w:tcPr>
          <w:p w14:paraId="7FE98045">
            <w:pPr>
              <w:widowControl/>
              <w:spacing w:line="240" w:lineRule="exact"/>
              <w:jc w:val="left"/>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2359000">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6</w:t>
            </w:r>
          </w:p>
        </w:tc>
        <w:tc>
          <w:tcPr>
            <w:tcW w:w="0" w:type="auto"/>
            <w:tcBorders>
              <w:top w:val="single" w:color="auto" w:sz="4" w:space="0"/>
              <w:left w:val="single" w:color="auto" w:sz="4" w:space="0"/>
              <w:bottom w:val="single" w:color="auto" w:sz="4" w:space="0"/>
              <w:right w:val="single" w:color="auto" w:sz="4" w:space="0"/>
            </w:tcBorders>
            <w:vAlign w:val="center"/>
          </w:tcPr>
          <w:p w14:paraId="2C6F54F1">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非化石能源占一次能源消费降低比例（%）#</w:t>
            </w:r>
          </w:p>
        </w:tc>
        <w:tc>
          <w:tcPr>
            <w:tcW w:w="984" w:type="dxa"/>
            <w:tcBorders>
              <w:top w:val="single" w:color="auto" w:sz="4" w:space="0"/>
              <w:left w:val="single" w:color="auto" w:sz="4" w:space="0"/>
              <w:bottom w:val="single" w:color="auto" w:sz="4" w:space="0"/>
              <w:right w:val="single" w:color="auto" w:sz="4" w:space="0"/>
            </w:tcBorders>
            <w:vAlign w:val="center"/>
          </w:tcPr>
          <w:p w14:paraId="24CA4728">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15</w:t>
            </w:r>
          </w:p>
        </w:tc>
        <w:tc>
          <w:tcPr>
            <w:tcW w:w="984" w:type="dxa"/>
            <w:tcBorders>
              <w:top w:val="single" w:color="auto" w:sz="4" w:space="0"/>
              <w:left w:val="single" w:color="auto" w:sz="4" w:space="0"/>
              <w:bottom w:val="single" w:color="auto" w:sz="4" w:space="0"/>
              <w:right w:val="single" w:color="auto" w:sz="4" w:space="0"/>
            </w:tcBorders>
            <w:vAlign w:val="center"/>
          </w:tcPr>
          <w:p w14:paraId="19C0367A">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17</w:t>
            </w:r>
          </w:p>
        </w:tc>
        <w:tc>
          <w:tcPr>
            <w:tcW w:w="984" w:type="dxa"/>
            <w:tcBorders>
              <w:top w:val="single" w:color="auto" w:sz="4" w:space="0"/>
              <w:left w:val="single" w:color="auto" w:sz="4" w:space="0"/>
              <w:bottom w:val="single" w:color="auto" w:sz="4" w:space="0"/>
              <w:right w:val="single" w:color="auto" w:sz="4" w:space="0"/>
            </w:tcBorders>
            <w:vAlign w:val="center"/>
          </w:tcPr>
          <w:p w14:paraId="26BE28F0">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18</w:t>
            </w:r>
          </w:p>
        </w:tc>
        <w:tc>
          <w:tcPr>
            <w:tcW w:w="984" w:type="dxa"/>
            <w:tcBorders>
              <w:top w:val="single" w:color="auto" w:sz="4" w:space="0"/>
              <w:left w:val="single" w:color="auto" w:sz="4" w:space="0"/>
              <w:bottom w:val="single" w:color="auto" w:sz="4" w:space="0"/>
              <w:right w:val="single" w:color="auto" w:sz="4" w:space="0"/>
            </w:tcBorders>
            <w:vAlign w:val="center"/>
          </w:tcPr>
          <w:p w14:paraId="4267F590">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19</w:t>
            </w:r>
          </w:p>
        </w:tc>
        <w:tc>
          <w:tcPr>
            <w:tcW w:w="984" w:type="dxa"/>
            <w:tcBorders>
              <w:top w:val="single" w:color="auto" w:sz="4" w:space="0"/>
              <w:left w:val="single" w:color="auto" w:sz="4" w:space="0"/>
              <w:bottom w:val="single" w:color="auto" w:sz="4" w:space="0"/>
              <w:right w:val="single" w:color="auto" w:sz="4" w:space="0"/>
            </w:tcBorders>
            <w:vAlign w:val="center"/>
          </w:tcPr>
          <w:p w14:paraId="3BDEC497">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20</w:t>
            </w:r>
          </w:p>
        </w:tc>
        <w:tc>
          <w:tcPr>
            <w:tcW w:w="0" w:type="auto"/>
            <w:tcBorders>
              <w:top w:val="single" w:color="auto" w:sz="4" w:space="0"/>
              <w:left w:val="single" w:color="auto" w:sz="4" w:space="0"/>
              <w:bottom w:val="single" w:color="auto" w:sz="4" w:space="0"/>
              <w:right w:val="single" w:color="auto" w:sz="6" w:space="0"/>
            </w:tcBorders>
            <w:vAlign w:val="center"/>
          </w:tcPr>
          <w:p w14:paraId="3E3B49A1">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r w14:paraId="5C9343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restart"/>
            <w:tcBorders>
              <w:top w:val="single" w:color="auto" w:sz="4" w:space="0"/>
              <w:left w:val="single" w:color="auto" w:sz="6" w:space="0"/>
              <w:right w:val="single" w:color="auto" w:sz="4" w:space="0"/>
            </w:tcBorders>
            <w:vAlign w:val="center"/>
          </w:tcPr>
          <w:p w14:paraId="7F959A46">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环境风险</w:t>
            </w:r>
          </w:p>
          <w:p w14:paraId="22DF6EBC">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防控指标</w:t>
            </w:r>
          </w:p>
        </w:tc>
        <w:tc>
          <w:tcPr>
            <w:tcW w:w="0" w:type="auto"/>
            <w:tcBorders>
              <w:top w:val="single" w:color="auto" w:sz="4" w:space="0"/>
              <w:left w:val="single" w:color="auto" w:sz="4" w:space="0"/>
              <w:bottom w:val="single" w:color="auto" w:sz="4" w:space="0"/>
              <w:right w:val="single" w:color="auto" w:sz="4" w:space="0"/>
            </w:tcBorders>
            <w:vAlign w:val="center"/>
          </w:tcPr>
          <w:p w14:paraId="1C5AF0C7">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7</w:t>
            </w:r>
          </w:p>
        </w:tc>
        <w:tc>
          <w:tcPr>
            <w:tcW w:w="0" w:type="auto"/>
            <w:tcBorders>
              <w:top w:val="single" w:color="auto" w:sz="4" w:space="0"/>
              <w:left w:val="single" w:color="auto" w:sz="4" w:space="0"/>
              <w:bottom w:val="single" w:color="auto" w:sz="4" w:space="0"/>
              <w:right w:val="single" w:color="auto" w:sz="4" w:space="0"/>
            </w:tcBorders>
            <w:vAlign w:val="center"/>
          </w:tcPr>
          <w:p w14:paraId="71F863B4">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受污染耕地安全利用率（%）#</w:t>
            </w:r>
          </w:p>
        </w:tc>
        <w:tc>
          <w:tcPr>
            <w:tcW w:w="984" w:type="dxa"/>
            <w:tcBorders>
              <w:top w:val="single" w:color="auto" w:sz="4" w:space="0"/>
              <w:left w:val="single" w:color="auto" w:sz="4" w:space="0"/>
              <w:bottom w:val="single" w:color="auto" w:sz="4" w:space="0"/>
              <w:right w:val="single" w:color="auto" w:sz="4" w:space="0"/>
            </w:tcBorders>
            <w:vAlign w:val="center"/>
          </w:tcPr>
          <w:p w14:paraId="384C1969">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无耕地</w:t>
            </w:r>
          </w:p>
        </w:tc>
        <w:tc>
          <w:tcPr>
            <w:tcW w:w="984" w:type="dxa"/>
            <w:tcBorders>
              <w:top w:val="single" w:color="auto" w:sz="4" w:space="0"/>
              <w:left w:val="single" w:color="auto" w:sz="4" w:space="0"/>
              <w:bottom w:val="single" w:color="auto" w:sz="4" w:space="0"/>
              <w:right w:val="single" w:color="auto" w:sz="4" w:space="0"/>
            </w:tcBorders>
            <w:vAlign w:val="center"/>
          </w:tcPr>
          <w:p w14:paraId="64C01F6A">
            <w:pPr>
              <w:adjustRightInd w:val="0"/>
              <w:snapToGrid w:val="0"/>
              <w:spacing w:line="240" w:lineRule="exact"/>
              <w:jc w:val="center"/>
              <w:rPr>
                <w:rFonts w:ascii="仿宋" w:hAnsi="仿宋" w:eastAsia="仿宋" w:cs="仿宋"/>
                <w:bCs/>
                <w:sz w:val="24"/>
              </w:rPr>
            </w:pPr>
            <w:r>
              <w:rPr>
                <w:rFonts w:hint="eastAsia" w:ascii="仿宋" w:hAnsi="仿宋" w:eastAsia="仿宋" w:cs="仿宋"/>
                <w:bCs/>
                <w:sz w:val="24"/>
              </w:rPr>
              <w:t>无耕地</w:t>
            </w:r>
          </w:p>
        </w:tc>
        <w:tc>
          <w:tcPr>
            <w:tcW w:w="984" w:type="dxa"/>
            <w:tcBorders>
              <w:top w:val="single" w:color="auto" w:sz="4" w:space="0"/>
              <w:left w:val="single" w:color="auto" w:sz="4" w:space="0"/>
              <w:bottom w:val="single" w:color="auto" w:sz="4" w:space="0"/>
              <w:right w:val="single" w:color="auto" w:sz="4" w:space="0"/>
            </w:tcBorders>
            <w:vAlign w:val="center"/>
          </w:tcPr>
          <w:p w14:paraId="39A8CEDD">
            <w:pPr>
              <w:adjustRightInd w:val="0"/>
              <w:snapToGrid w:val="0"/>
              <w:spacing w:line="240" w:lineRule="exact"/>
              <w:jc w:val="center"/>
              <w:rPr>
                <w:rFonts w:ascii="仿宋" w:hAnsi="仿宋" w:eastAsia="仿宋" w:cs="仿宋"/>
                <w:sz w:val="24"/>
              </w:rPr>
            </w:pPr>
            <w:r>
              <w:rPr>
                <w:rFonts w:hint="eastAsia" w:ascii="仿宋" w:hAnsi="仿宋" w:eastAsia="仿宋" w:cs="仿宋"/>
                <w:bCs/>
                <w:sz w:val="24"/>
              </w:rPr>
              <w:t>无耕地</w:t>
            </w:r>
          </w:p>
        </w:tc>
        <w:tc>
          <w:tcPr>
            <w:tcW w:w="984" w:type="dxa"/>
            <w:tcBorders>
              <w:top w:val="single" w:color="auto" w:sz="4" w:space="0"/>
              <w:left w:val="single" w:color="auto" w:sz="4" w:space="0"/>
              <w:bottom w:val="single" w:color="auto" w:sz="4" w:space="0"/>
              <w:right w:val="single" w:color="auto" w:sz="4" w:space="0"/>
            </w:tcBorders>
            <w:vAlign w:val="center"/>
          </w:tcPr>
          <w:p w14:paraId="2FFC1D80">
            <w:pPr>
              <w:adjustRightInd w:val="0"/>
              <w:snapToGrid w:val="0"/>
              <w:spacing w:line="240" w:lineRule="exact"/>
              <w:jc w:val="center"/>
              <w:rPr>
                <w:rFonts w:ascii="仿宋" w:hAnsi="仿宋" w:eastAsia="仿宋" w:cs="仿宋"/>
                <w:sz w:val="24"/>
              </w:rPr>
            </w:pPr>
            <w:r>
              <w:rPr>
                <w:rFonts w:hint="eastAsia" w:ascii="仿宋" w:hAnsi="仿宋" w:eastAsia="仿宋" w:cs="仿宋"/>
                <w:bCs/>
                <w:sz w:val="24"/>
              </w:rPr>
              <w:t>无耕地</w:t>
            </w:r>
          </w:p>
        </w:tc>
        <w:tc>
          <w:tcPr>
            <w:tcW w:w="984" w:type="dxa"/>
            <w:tcBorders>
              <w:top w:val="single" w:color="auto" w:sz="4" w:space="0"/>
              <w:left w:val="single" w:color="auto" w:sz="4" w:space="0"/>
              <w:bottom w:val="single" w:color="auto" w:sz="4" w:space="0"/>
              <w:right w:val="single" w:color="auto" w:sz="4" w:space="0"/>
            </w:tcBorders>
            <w:vAlign w:val="center"/>
          </w:tcPr>
          <w:p w14:paraId="01A38C60">
            <w:pPr>
              <w:adjustRightInd w:val="0"/>
              <w:snapToGrid w:val="0"/>
              <w:spacing w:line="240" w:lineRule="exact"/>
              <w:jc w:val="center"/>
              <w:rPr>
                <w:rFonts w:ascii="仿宋" w:hAnsi="仿宋" w:eastAsia="仿宋" w:cs="仿宋"/>
                <w:sz w:val="24"/>
              </w:rPr>
            </w:pPr>
            <w:r>
              <w:rPr>
                <w:rFonts w:hint="eastAsia" w:ascii="仿宋" w:hAnsi="仿宋" w:eastAsia="仿宋" w:cs="仿宋"/>
                <w:bCs/>
                <w:sz w:val="24"/>
              </w:rPr>
              <w:t>无耕地</w:t>
            </w:r>
          </w:p>
        </w:tc>
        <w:tc>
          <w:tcPr>
            <w:tcW w:w="0" w:type="auto"/>
            <w:tcBorders>
              <w:top w:val="single" w:color="auto" w:sz="4" w:space="0"/>
              <w:left w:val="single" w:color="auto" w:sz="4" w:space="0"/>
              <w:bottom w:val="single" w:color="auto" w:sz="4" w:space="0"/>
              <w:right w:val="single" w:color="auto" w:sz="6" w:space="0"/>
            </w:tcBorders>
            <w:vAlign w:val="center"/>
          </w:tcPr>
          <w:p w14:paraId="198AD8DF">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r w14:paraId="1BCA74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right w:val="single" w:color="auto" w:sz="4" w:space="0"/>
            </w:tcBorders>
            <w:vAlign w:val="center"/>
          </w:tcPr>
          <w:p w14:paraId="4C56401B">
            <w:pPr>
              <w:adjustRightInd w:val="0"/>
              <w:snapToGrid w:val="0"/>
              <w:spacing w:line="240" w:lineRule="exact"/>
              <w:jc w:val="center"/>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1A58AAB">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8</w:t>
            </w:r>
          </w:p>
        </w:tc>
        <w:tc>
          <w:tcPr>
            <w:tcW w:w="0" w:type="auto"/>
            <w:tcBorders>
              <w:top w:val="single" w:color="auto" w:sz="4" w:space="0"/>
              <w:left w:val="single" w:color="auto" w:sz="4" w:space="0"/>
              <w:bottom w:val="single" w:color="auto" w:sz="4" w:space="0"/>
              <w:right w:val="single" w:color="auto" w:sz="4" w:space="0"/>
            </w:tcBorders>
            <w:vAlign w:val="center"/>
          </w:tcPr>
          <w:p w14:paraId="45BCFDFA">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污染地块安全利用率（%）#</w:t>
            </w:r>
          </w:p>
        </w:tc>
        <w:tc>
          <w:tcPr>
            <w:tcW w:w="984" w:type="dxa"/>
            <w:tcBorders>
              <w:top w:val="single" w:color="auto" w:sz="4" w:space="0"/>
              <w:left w:val="single" w:color="auto" w:sz="4" w:space="0"/>
              <w:bottom w:val="single" w:color="auto" w:sz="4" w:space="0"/>
              <w:right w:val="single" w:color="auto" w:sz="4" w:space="0"/>
            </w:tcBorders>
            <w:vAlign w:val="center"/>
          </w:tcPr>
          <w:p w14:paraId="5B7157BC">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90</w:t>
            </w:r>
          </w:p>
        </w:tc>
        <w:tc>
          <w:tcPr>
            <w:tcW w:w="984" w:type="dxa"/>
            <w:tcBorders>
              <w:top w:val="single" w:color="auto" w:sz="4" w:space="0"/>
              <w:left w:val="single" w:color="auto" w:sz="4" w:space="0"/>
              <w:bottom w:val="single" w:color="auto" w:sz="4" w:space="0"/>
              <w:right w:val="single" w:color="auto" w:sz="4" w:space="0"/>
            </w:tcBorders>
            <w:vAlign w:val="center"/>
          </w:tcPr>
          <w:p w14:paraId="4C6DF071">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92</w:t>
            </w:r>
          </w:p>
        </w:tc>
        <w:tc>
          <w:tcPr>
            <w:tcW w:w="984" w:type="dxa"/>
            <w:tcBorders>
              <w:top w:val="single" w:color="auto" w:sz="4" w:space="0"/>
              <w:left w:val="single" w:color="auto" w:sz="4" w:space="0"/>
              <w:bottom w:val="single" w:color="auto" w:sz="4" w:space="0"/>
              <w:right w:val="single" w:color="auto" w:sz="4" w:space="0"/>
            </w:tcBorders>
            <w:vAlign w:val="center"/>
          </w:tcPr>
          <w:p w14:paraId="6089CC4B">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93</w:t>
            </w:r>
          </w:p>
        </w:tc>
        <w:tc>
          <w:tcPr>
            <w:tcW w:w="984" w:type="dxa"/>
            <w:tcBorders>
              <w:top w:val="single" w:color="auto" w:sz="4" w:space="0"/>
              <w:left w:val="single" w:color="auto" w:sz="4" w:space="0"/>
              <w:bottom w:val="single" w:color="auto" w:sz="4" w:space="0"/>
              <w:right w:val="single" w:color="auto" w:sz="4" w:space="0"/>
            </w:tcBorders>
            <w:vAlign w:val="center"/>
          </w:tcPr>
          <w:p w14:paraId="74A3A0E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94</w:t>
            </w:r>
          </w:p>
        </w:tc>
        <w:tc>
          <w:tcPr>
            <w:tcW w:w="984" w:type="dxa"/>
            <w:tcBorders>
              <w:top w:val="single" w:color="auto" w:sz="4" w:space="0"/>
              <w:left w:val="single" w:color="auto" w:sz="4" w:space="0"/>
              <w:bottom w:val="single" w:color="auto" w:sz="4" w:space="0"/>
              <w:right w:val="single" w:color="auto" w:sz="4" w:space="0"/>
            </w:tcBorders>
            <w:vAlign w:val="center"/>
          </w:tcPr>
          <w:p w14:paraId="684D0318">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95</w:t>
            </w:r>
          </w:p>
        </w:tc>
        <w:tc>
          <w:tcPr>
            <w:tcW w:w="0" w:type="auto"/>
            <w:tcBorders>
              <w:top w:val="single" w:color="auto" w:sz="4" w:space="0"/>
              <w:left w:val="single" w:color="auto" w:sz="4" w:space="0"/>
              <w:bottom w:val="single" w:color="auto" w:sz="4" w:space="0"/>
              <w:right w:val="single" w:color="auto" w:sz="6" w:space="0"/>
            </w:tcBorders>
            <w:vAlign w:val="center"/>
          </w:tcPr>
          <w:p w14:paraId="6C5CE4E1">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r w14:paraId="46D3AA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right w:val="single" w:color="auto" w:sz="4" w:space="0"/>
            </w:tcBorders>
            <w:vAlign w:val="center"/>
          </w:tcPr>
          <w:p w14:paraId="77AF271E">
            <w:pPr>
              <w:widowControl/>
              <w:spacing w:line="240" w:lineRule="exact"/>
              <w:jc w:val="left"/>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7853E7D">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9</w:t>
            </w:r>
          </w:p>
        </w:tc>
        <w:tc>
          <w:tcPr>
            <w:tcW w:w="0" w:type="auto"/>
            <w:tcBorders>
              <w:top w:val="single" w:color="auto" w:sz="4" w:space="0"/>
              <w:left w:val="single" w:color="auto" w:sz="4" w:space="0"/>
              <w:bottom w:val="single" w:color="auto" w:sz="4" w:space="0"/>
              <w:right w:val="single" w:color="auto" w:sz="4" w:space="0"/>
            </w:tcBorders>
            <w:vAlign w:val="center"/>
          </w:tcPr>
          <w:p w14:paraId="7BC6A116">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放射源辐射事故年发生率（起/每万枚）#</w:t>
            </w:r>
          </w:p>
        </w:tc>
        <w:tc>
          <w:tcPr>
            <w:tcW w:w="984" w:type="dxa"/>
            <w:tcBorders>
              <w:top w:val="single" w:color="auto" w:sz="4" w:space="0"/>
              <w:left w:val="single" w:color="auto" w:sz="4" w:space="0"/>
              <w:bottom w:val="single" w:color="auto" w:sz="4" w:space="0"/>
              <w:right w:val="single" w:color="auto" w:sz="4" w:space="0"/>
            </w:tcBorders>
            <w:vAlign w:val="center"/>
          </w:tcPr>
          <w:p w14:paraId="2DC76FE4">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szCs w:val="24"/>
              </w:rPr>
              <w:t>低于0.58</w:t>
            </w:r>
          </w:p>
        </w:tc>
        <w:tc>
          <w:tcPr>
            <w:tcW w:w="984" w:type="dxa"/>
            <w:tcBorders>
              <w:top w:val="single" w:color="auto" w:sz="4" w:space="0"/>
              <w:left w:val="single" w:color="auto" w:sz="4" w:space="0"/>
              <w:bottom w:val="single" w:color="auto" w:sz="4" w:space="0"/>
              <w:right w:val="single" w:color="auto" w:sz="4" w:space="0"/>
            </w:tcBorders>
            <w:vAlign w:val="center"/>
          </w:tcPr>
          <w:p w14:paraId="4E8A3EDB">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szCs w:val="24"/>
              </w:rPr>
              <w:t>低于0.58</w:t>
            </w:r>
          </w:p>
        </w:tc>
        <w:tc>
          <w:tcPr>
            <w:tcW w:w="984" w:type="dxa"/>
            <w:tcBorders>
              <w:top w:val="single" w:color="auto" w:sz="4" w:space="0"/>
              <w:left w:val="single" w:color="auto" w:sz="4" w:space="0"/>
              <w:bottom w:val="single" w:color="auto" w:sz="4" w:space="0"/>
              <w:right w:val="single" w:color="auto" w:sz="4" w:space="0"/>
            </w:tcBorders>
            <w:vAlign w:val="center"/>
          </w:tcPr>
          <w:p w14:paraId="17810437">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szCs w:val="24"/>
              </w:rPr>
              <w:t>低于0.58</w:t>
            </w:r>
          </w:p>
        </w:tc>
        <w:tc>
          <w:tcPr>
            <w:tcW w:w="984" w:type="dxa"/>
            <w:tcBorders>
              <w:top w:val="single" w:color="auto" w:sz="4" w:space="0"/>
              <w:left w:val="single" w:color="auto" w:sz="4" w:space="0"/>
              <w:bottom w:val="single" w:color="auto" w:sz="4" w:space="0"/>
              <w:right w:val="single" w:color="auto" w:sz="4" w:space="0"/>
            </w:tcBorders>
            <w:vAlign w:val="center"/>
          </w:tcPr>
          <w:p w14:paraId="0A490E48">
            <w:pPr>
              <w:adjustRightInd w:val="0"/>
              <w:snapToGrid w:val="0"/>
              <w:spacing w:line="240" w:lineRule="exact"/>
              <w:jc w:val="center"/>
              <w:rPr>
                <w:rFonts w:ascii="仿宋" w:hAnsi="仿宋" w:eastAsia="仿宋" w:cs="仿宋"/>
                <w:bCs/>
                <w:sz w:val="24"/>
                <w:szCs w:val="24"/>
              </w:rPr>
            </w:pPr>
            <w:r>
              <w:rPr>
                <w:rFonts w:hint="eastAsia" w:ascii="仿宋" w:hAnsi="仿宋" w:eastAsia="仿宋" w:cs="仿宋"/>
                <w:bCs/>
                <w:sz w:val="24"/>
                <w:szCs w:val="24"/>
              </w:rPr>
              <w:t>低于0.58</w:t>
            </w:r>
          </w:p>
        </w:tc>
        <w:tc>
          <w:tcPr>
            <w:tcW w:w="984" w:type="dxa"/>
            <w:tcBorders>
              <w:top w:val="single" w:color="auto" w:sz="4" w:space="0"/>
              <w:left w:val="single" w:color="auto" w:sz="4" w:space="0"/>
              <w:bottom w:val="single" w:color="auto" w:sz="4" w:space="0"/>
              <w:right w:val="single" w:color="auto" w:sz="4" w:space="0"/>
            </w:tcBorders>
            <w:vAlign w:val="center"/>
          </w:tcPr>
          <w:p w14:paraId="20BA30EB">
            <w:pPr>
              <w:adjustRightInd w:val="0"/>
              <w:snapToGrid w:val="0"/>
              <w:spacing w:line="240" w:lineRule="exact"/>
              <w:jc w:val="center"/>
              <w:rPr>
                <w:rFonts w:ascii="仿宋" w:hAnsi="仿宋" w:eastAsia="仿宋" w:cs="仿宋"/>
                <w:sz w:val="24"/>
              </w:rPr>
            </w:pPr>
            <w:r>
              <w:rPr>
                <w:rFonts w:hint="eastAsia" w:ascii="仿宋" w:hAnsi="仿宋" w:eastAsia="仿宋" w:cs="仿宋"/>
                <w:bCs/>
                <w:sz w:val="24"/>
                <w:szCs w:val="24"/>
              </w:rPr>
              <w:t>低于0.58</w:t>
            </w:r>
          </w:p>
        </w:tc>
        <w:tc>
          <w:tcPr>
            <w:tcW w:w="0" w:type="auto"/>
            <w:tcBorders>
              <w:top w:val="single" w:color="auto" w:sz="4" w:space="0"/>
              <w:left w:val="single" w:color="auto" w:sz="4" w:space="0"/>
              <w:bottom w:val="single" w:color="auto" w:sz="4" w:space="0"/>
              <w:right w:val="single" w:color="auto" w:sz="6" w:space="0"/>
            </w:tcBorders>
            <w:vAlign w:val="center"/>
          </w:tcPr>
          <w:p w14:paraId="3624E89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r w14:paraId="7418F2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left w:val="single" w:color="auto" w:sz="6" w:space="0"/>
              <w:bottom w:val="single" w:color="auto" w:sz="4" w:space="0"/>
              <w:right w:val="single" w:color="auto" w:sz="4" w:space="0"/>
            </w:tcBorders>
            <w:vAlign w:val="center"/>
          </w:tcPr>
          <w:p w14:paraId="30F8E494">
            <w:pPr>
              <w:widowControl/>
              <w:spacing w:line="240" w:lineRule="exact"/>
              <w:jc w:val="left"/>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5944380">
            <w:pPr>
              <w:adjustRightInd w:val="0"/>
              <w:snapToGrid w:val="0"/>
              <w:spacing w:line="240" w:lineRule="exact"/>
              <w:jc w:val="center"/>
              <w:rPr>
                <w:rFonts w:ascii="仿宋" w:hAnsi="仿宋" w:eastAsia="仿宋" w:cs="仿宋"/>
                <w:sz w:val="24"/>
              </w:rPr>
            </w:pPr>
            <w:r>
              <w:rPr>
                <w:rFonts w:ascii="仿宋" w:hAnsi="仿宋" w:eastAsia="仿宋" w:cs="仿宋"/>
                <w:sz w:val="24"/>
              </w:rPr>
              <w:t>20</w:t>
            </w:r>
          </w:p>
        </w:tc>
        <w:tc>
          <w:tcPr>
            <w:tcW w:w="0" w:type="auto"/>
            <w:tcBorders>
              <w:top w:val="single" w:color="auto" w:sz="4" w:space="0"/>
              <w:left w:val="single" w:color="auto" w:sz="4" w:space="0"/>
              <w:bottom w:val="single" w:color="auto" w:sz="4" w:space="0"/>
              <w:right w:val="single" w:color="auto" w:sz="4" w:space="0"/>
            </w:tcBorders>
            <w:vAlign w:val="center"/>
          </w:tcPr>
          <w:p w14:paraId="0D5EFD45">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县级以上医疗废物无害化处置率（%）</w:t>
            </w:r>
          </w:p>
        </w:tc>
        <w:tc>
          <w:tcPr>
            <w:tcW w:w="984" w:type="dxa"/>
            <w:tcBorders>
              <w:top w:val="single" w:color="auto" w:sz="4" w:space="0"/>
              <w:left w:val="single" w:color="auto" w:sz="4" w:space="0"/>
              <w:bottom w:val="single" w:color="auto" w:sz="4" w:space="0"/>
              <w:right w:val="single" w:color="auto" w:sz="4" w:space="0"/>
            </w:tcBorders>
            <w:vAlign w:val="center"/>
          </w:tcPr>
          <w:p w14:paraId="2999F3C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100</w:t>
            </w:r>
          </w:p>
        </w:tc>
        <w:tc>
          <w:tcPr>
            <w:tcW w:w="984" w:type="dxa"/>
            <w:tcBorders>
              <w:top w:val="single" w:color="auto" w:sz="4" w:space="0"/>
              <w:left w:val="single" w:color="auto" w:sz="4" w:space="0"/>
              <w:bottom w:val="single" w:color="auto" w:sz="4" w:space="0"/>
              <w:right w:val="single" w:color="auto" w:sz="4" w:space="0"/>
            </w:tcBorders>
            <w:vAlign w:val="center"/>
          </w:tcPr>
          <w:p w14:paraId="3D7A0D5C">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100</w:t>
            </w:r>
          </w:p>
        </w:tc>
        <w:tc>
          <w:tcPr>
            <w:tcW w:w="984" w:type="dxa"/>
            <w:tcBorders>
              <w:top w:val="single" w:color="auto" w:sz="4" w:space="0"/>
              <w:left w:val="single" w:color="auto" w:sz="4" w:space="0"/>
              <w:bottom w:val="single" w:color="auto" w:sz="4" w:space="0"/>
              <w:right w:val="single" w:color="auto" w:sz="4" w:space="0"/>
            </w:tcBorders>
            <w:vAlign w:val="center"/>
          </w:tcPr>
          <w:p w14:paraId="03BF776E">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100</w:t>
            </w:r>
          </w:p>
        </w:tc>
        <w:tc>
          <w:tcPr>
            <w:tcW w:w="984" w:type="dxa"/>
            <w:tcBorders>
              <w:top w:val="single" w:color="auto" w:sz="4" w:space="0"/>
              <w:left w:val="single" w:color="auto" w:sz="4" w:space="0"/>
              <w:bottom w:val="single" w:color="auto" w:sz="4" w:space="0"/>
              <w:right w:val="single" w:color="auto" w:sz="4" w:space="0"/>
            </w:tcBorders>
            <w:vAlign w:val="center"/>
          </w:tcPr>
          <w:p w14:paraId="3A12BE36">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100</w:t>
            </w:r>
          </w:p>
        </w:tc>
        <w:tc>
          <w:tcPr>
            <w:tcW w:w="984" w:type="dxa"/>
            <w:tcBorders>
              <w:top w:val="single" w:color="auto" w:sz="4" w:space="0"/>
              <w:left w:val="single" w:color="auto" w:sz="4" w:space="0"/>
              <w:bottom w:val="single" w:color="auto" w:sz="4" w:space="0"/>
              <w:right w:val="single" w:color="auto" w:sz="4" w:space="0"/>
            </w:tcBorders>
            <w:vAlign w:val="center"/>
          </w:tcPr>
          <w:p w14:paraId="6887C127">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100</w:t>
            </w:r>
          </w:p>
        </w:tc>
        <w:tc>
          <w:tcPr>
            <w:tcW w:w="0" w:type="auto"/>
            <w:tcBorders>
              <w:top w:val="single" w:color="auto" w:sz="4" w:space="0"/>
              <w:left w:val="single" w:color="auto" w:sz="4" w:space="0"/>
              <w:bottom w:val="single" w:color="auto" w:sz="4" w:space="0"/>
              <w:right w:val="single" w:color="auto" w:sz="6" w:space="0"/>
            </w:tcBorders>
            <w:vAlign w:val="center"/>
          </w:tcPr>
          <w:p w14:paraId="15BE6980">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r w14:paraId="723C9A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restart"/>
            <w:tcBorders>
              <w:top w:val="single" w:color="auto" w:sz="4" w:space="0"/>
              <w:left w:val="single" w:color="auto" w:sz="6" w:space="0"/>
              <w:bottom w:val="single" w:color="auto" w:sz="6" w:space="0"/>
              <w:right w:val="single" w:color="auto" w:sz="4" w:space="0"/>
            </w:tcBorders>
            <w:vAlign w:val="center"/>
          </w:tcPr>
          <w:p w14:paraId="70BF82A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生态保护指标</w:t>
            </w:r>
          </w:p>
        </w:tc>
        <w:tc>
          <w:tcPr>
            <w:tcW w:w="0" w:type="auto"/>
            <w:tcBorders>
              <w:top w:val="single" w:color="auto" w:sz="4" w:space="0"/>
              <w:left w:val="single" w:color="auto" w:sz="4" w:space="0"/>
              <w:bottom w:val="single" w:color="auto" w:sz="4" w:space="0"/>
              <w:right w:val="single" w:color="auto" w:sz="4" w:space="0"/>
            </w:tcBorders>
            <w:vAlign w:val="center"/>
          </w:tcPr>
          <w:p w14:paraId="32545D25">
            <w:pPr>
              <w:adjustRightInd w:val="0"/>
              <w:snapToGrid w:val="0"/>
              <w:spacing w:line="240" w:lineRule="exact"/>
              <w:jc w:val="center"/>
              <w:rPr>
                <w:rFonts w:ascii="仿宋" w:hAnsi="仿宋" w:eastAsia="仿宋" w:cs="仿宋"/>
                <w:sz w:val="24"/>
              </w:rPr>
            </w:pPr>
            <w:r>
              <w:rPr>
                <w:rFonts w:ascii="仿宋" w:hAnsi="仿宋" w:eastAsia="仿宋" w:cs="仿宋"/>
                <w:sz w:val="24"/>
              </w:rPr>
              <w:t>21</w:t>
            </w:r>
          </w:p>
        </w:tc>
        <w:tc>
          <w:tcPr>
            <w:tcW w:w="0" w:type="auto"/>
            <w:tcBorders>
              <w:top w:val="single" w:color="auto" w:sz="4" w:space="0"/>
              <w:left w:val="single" w:color="auto" w:sz="4" w:space="0"/>
              <w:bottom w:val="single" w:color="auto" w:sz="4" w:space="0"/>
              <w:right w:val="single" w:color="auto" w:sz="4" w:space="0"/>
            </w:tcBorders>
            <w:vAlign w:val="center"/>
          </w:tcPr>
          <w:p w14:paraId="1930C32E">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森林覆盖率（%）</w:t>
            </w:r>
          </w:p>
        </w:tc>
        <w:tc>
          <w:tcPr>
            <w:tcW w:w="984" w:type="dxa"/>
            <w:tcBorders>
              <w:top w:val="single" w:color="auto" w:sz="4" w:space="0"/>
              <w:left w:val="single" w:color="auto" w:sz="4" w:space="0"/>
              <w:bottom w:val="single" w:color="auto" w:sz="4" w:space="0"/>
              <w:right w:val="single" w:color="auto" w:sz="4" w:space="0"/>
            </w:tcBorders>
            <w:vAlign w:val="center"/>
          </w:tcPr>
          <w:p w14:paraId="3E4B3186">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稳中向好</w:t>
            </w:r>
          </w:p>
        </w:tc>
        <w:tc>
          <w:tcPr>
            <w:tcW w:w="984" w:type="dxa"/>
            <w:tcBorders>
              <w:top w:val="single" w:color="auto" w:sz="4" w:space="0"/>
              <w:left w:val="single" w:color="auto" w:sz="4" w:space="0"/>
              <w:bottom w:val="single" w:color="auto" w:sz="4" w:space="0"/>
              <w:right w:val="single" w:color="auto" w:sz="4" w:space="0"/>
            </w:tcBorders>
            <w:vAlign w:val="center"/>
          </w:tcPr>
          <w:p w14:paraId="76DF81CF">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稳中向好</w:t>
            </w:r>
          </w:p>
        </w:tc>
        <w:tc>
          <w:tcPr>
            <w:tcW w:w="984" w:type="dxa"/>
            <w:tcBorders>
              <w:top w:val="single" w:color="auto" w:sz="4" w:space="0"/>
              <w:left w:val="single" w:color="auto" w:sz="4" w:space="0"/>
              <w:bottom w:val="single" w:color="auto" w:sz="4" w:space="0"/>
              <w:right w:val="single" w:color="auto" w:sz="4" w:space="0"/>
            </w:tcBorders>
            <w:vAlign w:val="center"/>
          </w:tcPr>
          <w:p w14:paraId="222A472E">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稳中向好</w:t>
            </w:r>
          </w:p>
        </w:tc>
        <w:tc>
          <w:tcPr>
            <w:tcW w:w="984" w:type="dxa"/>
            <w:tcBorders>
              <w:top w:val="single" w:color="auto" w:sz="4" w:space="0"/>
              <w:left w:val="single" w:color="auto" w:sz="4" w:space="0"/>
              <w:bottom w:val="single" w:color="auto" w:sz="4" w:space="0"/>
              <w:right w:val="single" w:color="auto" w:sz="4" w:space="0"/>
            </w:tcBorders>
            <w:vAlign w:val="center"/>
          </w:tcPr>
          <w:p w14:paraId="05F994CA">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稳中向好</w:t>
            </w:r>
          </w:p>
        </w:tc>
        <w:tc>
          <w:tcPr>
            <w:tcW w:w="984" w:type="dxa"/>
            <w:tcBorders>
              <w:top w:val="single" w:color="auto" w:sz="4" w:space="0"/>
              <w:left w:val="single" w:color="auto" w:sz="4" w:space="0"/>
              <w:bottom w:val="single" w:color="auto" w:sz="4" w:space="0"/>
              <w:right w:val="single" w:color="auto" w:sz="4" w:space="0"/>
            </w:tcBorders>
            <w:vAlign w:val="center"/>
          </w:tcPr>
          <w:p w14:paraId="2F73C6F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稳中向好</w:t>
            </w:r>
          </w:p>
        </w:tc>
        <w:tc>
          <w:tcPr>
            <w:tcW w:w="0" w:type="auto"/>
            <w:tcBorders>
              <w:top w:val="single" w:color="auto" w:sz="4" w:space="0"/>
              <w:left w:val="single" w:color="auto" w:sz="4" w:space="0"/>
              <w:bottom w:val="single" w:color="auto" w:sz="4" w:space="0"/>
              <w:right w:val="single" w:color="auto" w:sz="6" w:space="0"/>
            </w:tcBorders>
            <w:vAlign w:val="center"/>
          </w:tcPr>
          <w:p w14:paraId="7D9D7B08">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52E080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6" w:space="0"/>
              <w:bottom w:val="single" w:color="auto" w:sz="6" w:space="0"/>
              <w:right w:val="single" w:color="auto" w:sz="4" w:space="0"/>
            </w:tcBorders>
            <w:vAlign w:val="center"/>
          </w:tcPr>
          <w:p w14:paraId="05D6E918">
            <w:pPr>
              <w:widowControl/>
              <w:spacing w:line="240" w:lineRule="exact"/>
              <w:jc w:val="left"/>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098C6DE">
            <w:pPr>
              <w:adjustRightInd w:val="0"/>
              <w:snapToGrid w:val="0"/>
              <w:spacing w:line="240" w:lineRule="exact"/>
              <w:jc w:val="center"/>
              <w:rPr>
                <w:rFonts w:ascii="仿宋" w:hAnsi="仿宋" w:eastAsia="仿宋" w:cs="仿宋"/>
                <w:sz w:val="24"/>
              </w:rPr>
            </w:pPr>
            <w:r>
              <w:rPr>
                <w:rFonts w:ascii="仿宋" w:hAnsi="仿宋" w:eastAsia="仿宋" w:cs="仿宋"/>
                <w:sz w:val="24"/>
              </w:rPr>
              <w:t>22</w:t>
            </w:r>
          </w:p>
        </w:tc>
        <w:tc>
          <w:tcPr>
            <w:tcW w:w="0" w:type="auto"/>
            <w:tcBorders>
              <w:top w:val="single" w:color="auto" w:sz="4" w:space="0"/>
              <w:left w:val="single" w:color="auto" w:sz="4" w:space="0"/>
              <w:bottom w:val="single" w:color="auto" w:sz="4" w:space="0"/>
              <w:right w:val="single" w:color="auto" w:sz="4" w:space="0"/>
            </w:tcBorders>
            <w:vAlign w:val="center"/>
          </w:tcPr>
          <w:p w14:paraId="2F848DB8">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生态红线占国土面积比例（%）#</w:t>
            </w:r>
          </w:p>
        </w:tc>
        <w:tc>
          <w:tcPr>
            <w:tcW w:w="984" w:type="dxa"/>
            <w:tcBorders>
              <w:top w:val="single" w:color="auto" w:sz="4" w:space="0"/>
              <w:left w:val="single" w:color="auto" w:sz="4" w:space="0"/>
              <w:bottom w:val="single" w:color="auto" w:sz="4" w:space="0"/>
              <w:right w:val="single" w:color="auto" w:sz="4" w:space="0"/>
            </w:tcBorders>
            <w:vAlign w:val="center"/>
          </w:tcPr>
          <w:p w14:paraId="7290FAAE">
            <w:pPr>
              <w:spacing w:line="240" w:lineRule="exact"/>
              <w:jc w:val="center"/>
              <w:rPr>
                <w:rFonts w:ascii="仿宋" w:hAnsi="仿宋" w:eastAsia="仿宋" w:cs="仿宋"/>
                <w:sz w:val="24"/>
              </w:rPr>
            </w:pPr>
            <w:r>
              <w:rPr>
                <w:rFonts w:hint="eastAsia" w:ascii="仿宋" w:hAnsi="仿宋" w:eastAsia="仿宋" w:cs="仿宋"/>
                <w:sz w:val="24"/>
              </w:rPr>
              <w:t>无生态红线</w:t>
            </w:r>
          </w:p>
        </w:tc>
        <w:tc>
          <w:tcPr>
            <w:tcW w:w="984" w:type="dxa"/>
            <w:tcBorders>
              <w:top w:val="single" w:color="auto" w:sz="4" w:space="0"/>
              <w:left w:val="single" w:color="auto" w:sz="4" w:space="0"/>
              <w:bottom w:val="single" w:color="auto" w:sz="4" w:space="0"/>
              <w:right w:val="single" w:color="auto" w:sz="4" w:space="0"/>
            </w:tcBorders>
            <w:vAlign w:val="center"/>
          </w:tcPr>
          <w:p w14:paraId="1A06BF79">
            <w:pPr>
              <w:spacing w:line="240" w:lineRule="exact"/>
              <w:jc w:val="center"/>
              <w:rPr>
                <w:rFonts w:ascii="仿宋" w:hAnsi="仿宋" w:eastAsia="仿宋" w:cs="仿宋"/>
                <w:sz w:val="24"/>
              </w:rPr>
            </w:pPr>
            <w:r>
              <w:rPr>
                <w:rFonts w:hint="eastAsia" w:ascii="仿宋" w:hAnsi="仿宋" w:eastAsia="仿宋" w:cs="仿宋"/>
                <w:sz w:val="24"/>
              </w:rPr>
              <w:t>无生态红线</w:t>
            </w:r>
          </w:p>
        </w:tc>
        <w:tc>
          <w:tcPr>
            <w:tcW w:w="984" w:type="dxa"/>
            <w:tcBorders>
              <w:top w:val="single" w:color="auto" w:sz="4" w:space="0"/>
              <w:left w:val="single" w:color="auto" w:sz="4" w:space="0"/>
              <w:bottom w:val="single" w:color="auto" w:sz="4" w:space="0"/>
              <w:right w:val="single" w:color="auto" w:sz="4" w:space="0"/>
            </w:tcBorders>
            <w:vAlign w:val="center"/>
          </w:tcPr>
          <w:p w14:paraId="1A2CE517">
            <w:pPr>
              <w:spacing w:line="240" w:lineRule="exact"/>
              <w:jc w:val="center"/>
              <w:rPr>
                <w:rFonts w:ascii="仿宋" w:hAnsi="仿宋" w:eastAsia="仿宋" w:cs="仿宋"/>
                <w:sz w:val="24"/>
              </w:rPr>
            </w:pPr>
            <w:r>
              <w:rPr>
                <w:rFonts w:hint="eastAsia" w:ascii="仿宋" w:hAnsi="仿宋" w:eastAsia="仿宋" w:cs="仿宋"/>
                <w:sz w:val="24"/>
              </w:rPr>
              <w:t>无生态红线</w:t>
            </w:r>
          </w:p>
        </w:tc>
        <w:tc>
          <w:tcPr>
            <w:tcW w:w="984" w:type="dxa"/>
            <w:tcBorders>
              <w:top w:val="single" w:color="auto" w:sz="4" w:space="0"/>
              <w:left w:val="single" w:color="auto" w:sz="4" w:space="0"/>
              <w:bottom w:val="single" w:color="auto" w:sz="4" w:space="0"/>
              <w:right w:val="single" w:color="auto" w:sz="4" w:space="0"/>
            </w:tcBorders>
            <w:vAlign w:val="center"/>
          </w:tcPr>
          <w:p w14:paraId="3A352513">
            <w:pPr>
              <w:spacing w:line="240" w:lineRule="exact"/>
              <w:jc w:val="center"/>
              <w:rPr>
                <w:rFonts w:ascii="仿宋" w:hAnsi="仿宋" w:eastAsia="仿宋" w:cs="仿宋"/>
                <w:sz w:val="24"/>
              </w:rPr>
            </w:pPr>
            <w:r>
              <w:rPr>
                <w:rFonts w:hint="eastAsia" w:ascii="仿宋" w:hAnsi="仿宋" w:eastAsia="仿宋" w:cs="仿宋"/>
                <w:sz w:val="24"/>
              </w:rPr>
              <w:t>无生态红线</w:t>
            </w:r>
          </w:p>
        </w:tc>
        <w:tc>
          <w:tcPr>
            <w:tcW w:w="984" w:type="dxa"/>
            <w:tcBorders>
              <w:top w:val="single" w:color="auto" w:sz="4" w:space="0"/>
              <w:left w:val="single" w:color="auto" w:sz="4" w:space="0"/>
              <w:bottom w:val="single" w:color="auto" w:sz="4" w:space="0"/>
              <w:right w:val="single" w:color="auto" w:sz="4" w:space="0"/>
            </w:tcBorders>
            <w:vAlign w:val="center"/>
          </w:tcPr>
          <w:p w14:paraId="6186FCDC">
            <w:pPr>
              <w:spacing w:line="240" w:lineRule="exact"/>
              <w:jc w:val="center"/>
              <w:rPr>
                <w:rFonts w:ascii="仿宋" w:hAnsi="仿宋" w:eastAsia="仿宋" w:cs="仿宋"/>
                <w:sz w:val="24"/>
              </w:rPr>
            </w:pPr>
            <w:r>
              <w:rPr>
                <w:rFonts w:hint="eastAsia" w:ascii="仿宋" w:hAnsi="仿宋" w:eastAsia="仿宋" w:cs="仿宋"/>
                <w:sz w:val="24"/>
              </w:rPr>
              <w:t>无生态红线</w:t>
            </w:r>
          </w:p>
        </w:tc>
        <w:tc>
          <w:tcPr>
            <w:tcW w:w="0" w:type="auto"/>
            <w:tcBorders>
              <w:top w:val="single" w:color="auto" w:sz="4" w:space="0"/>
              <w:left w:val="single" w:color="auto" w:sz="4" w:space="0"/>
              <w:bottom w:val="single" w:color="auto" w:sz="4" w:space="0"/>
              <w:right w:val="single" w:color="auto" w:sz="6" w:space="0"/>
            </w:tcBorders>
            <w:vAlign w:val="center"/>
          </w:tcPr>
          <w:p w14:paraId="18CB9809">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约束性</w:t>
            </w:r>
          </w:p>
        </w:tc>
      </w:tr>
      <w:tr w14:paraId="0D98BE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6" w:space="0"/>
              <w:bottom w:val="single" w:color="auto" w:sz="4" w:space="0"/>
              <w:right w:val="single" w:color="auto" w:sz="4" w:space="0"/>
            </w:tcBorders>
            <w:vAlign w:val="center"/>
          </w:tcPr>
          <w:p w14:paraId="1928CFF8">
            <w:pPr>
              <w:widowControl/>
              <w:spacing w:line="240" w:lineRule="exact"/>
              <w:jc w:val="left"/>
              <w:rPr>
                <w:rFonts w:ascii="仿宋" w:hAnsi="仿宋" w:eastAsia="仿宋" w:cs="仿宋"/>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7EC2881">
            <w:pPr>
              <w:adjustRightInd w:val="0"/>
              <w:snapToGrid w:val="0"/>
              <w:spacing w:line="240" w:lineRule="exact"/>
              <w:jc w:val="center"/>
              <w:rPr>
                <w:rFonts w:ascii="仿宋" w:hAnsi="仿宋" w:eastAsia="仿宋" w:cs="仿宋"/>
                <w:sz w:val="24"/>
              </w:rPr>
            </w:pPr>
            <w:r>
              <w:rPr>
                <w:rFonts w:ascii="仿宋" w:hAnsi="仿宋" w:eastAsia="仿宋" w:cs="仿宋"/>
                <w:sz w:val="24"/>
              </w:rPr>
              <w:t>23</w:t>
            </w:r>
          </w:p>
        </w:tc>
        <w:tc>
          <w:tcPr>
            <w:tcW w:w="0" w:type="auto"/>
            <w:tcBorders>
              <w:top w:val="single" w:color="auto" w:sz="4" w:space="0"/>
              <w:left w:val="single" w:color="auto" w:sz="4" w:space="0"/>
              <w:bottom w:val="single" w:color="auto" w:sz="4" w:space="0"/>
              <w:right w:val="single" w:color="auto" w:sz="4" w:space="0"/>
            </w:tcBorders>
            <w:vAlign w:val="center"/>
          </w:tcPr>
          <w:p w14:paraId="421BE81C">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生态质量指数（新EI）</w:t>
            </w:r>
          </w:p>
        </w:tc>
        <w:tc>
          <w:tcPr>
            <w:tcW w:w="984" w:type="dxa"/>
            <w:tcBorders>
              <w:top w:val="single" w:color="auto" w:sz="4" w:space="0"/>
              <w:left w:val="single" w:color="auto" w:sz="4" w:space="0"/>
              <w:bottom w:val="single" w:color="auto" w:sz="4" w:space="0"/>
              <w:right w:val="single" w:color="auto" w:sz="4" w:space="0"/>
            </w:tcBorders>
            <w:vAlign w:val="center"/>
          </w:tcPr>
          <w:p w14:paraId="7826D2D0">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稳中向好</w:t>
            </w:r>
          </w:p>
        </w:tc>
        <w:tc>
          <w:tcPr>
            <w:tcW w:w="984" w:type="dxa"/>
            <w:tcBorders>
              <w:top w:val="single" w:color="auto" w:sz="4" w:space="0"/>
              <w:left w:val="single" w:color="auto" w:sz="4" w:space="0"/>
              <w:bottom w:val="single" w:color="auto" w:sz="4" w:space="0"/>
              <w:right w:val="single" w:color="auto" w:sz="4" w:space="0"/>
            </w:tcBorders>
            <w:vAlign w:val="center"/>
          </w:tcPr>
          <w:p w14:paraId="174B9733">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稳中向好</w:t>
            </w:r>
          </w:p>
        </w:tc>
        <w:tc>
          <w:tcPr>
            <w:tcW w:w="984" w:type="dxa"/>
            <w:tcBorders>
              <w:top w:val="single" w:color="auto" w:sz="4" w:space="0"/>
              <w:left w:val="single" w:color="auto" w:sz="4" w:space="0"/>
              <w:bottom w:val="single" w:color="auto" w:sz="4" w:space="0"/>
              <w:right w:val="single" w:color="auto" w:sz="4" w:space="0"/>
            </w:tcBorders>
            <w:vAlign w:val="center"/>
          </w:tcPr>
          <w:p w14:paraId="04E843E7">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稳中向好</w:t>
            </w:r>
          </w:p>
        </w:tc>
        <w:tc>
          <w:tcPr>
            <w:tcW w:w="984" w:type="dxa"/>
            <w:tcBorders>
              <w:top w:val="single" w:color="auto" w:sz="4" w:space="0"/>
              <w:left w:val="single" w:color="auto" w:sz="4" w:space="0"/>
              <w:bottom w:val="single" w:color="auto" w:sz="4" w:space="0"/>
              <w:right w:val="single" w:color="auto" w:sz="4" w:space="0"/>
            </w:tcBorders>
            <w:vAlign w:val="center"/>
          </w:tcPr>
          <w:p w14:paraId="00D32C5D">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稳中向好</w:t>
            </w:r>
          </w:p>
        </w:tc>
        <w:tc>
          <w:tcPr>
            <w:tcW w:w="984" w:type="dxa"/>
            <w:tcBorders>
              <w:top w:val="single" w:color="auto" w:sz="4" w:space="0"/>
              <w:left w:val="single" w:color="auto" w:sz="4" w:space="0"/>
              <w:bottom w:val="single" w:color="auto" w:sz="4" w:space="0"/>
              <w:right w:val="single" w:color="auto" w:sz="4" w:space="0"/>
            </w:tcBorders>
            <w:vAlign w:val="center"/>
          </w:tcPr>
          <w:p w14:paraId="3CDE4AA5">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稳中向好</w:t>
            </w:r>
          </w:p>
        </w:tc>
        <w:tc>
          <w:tcPr>
            <w:tcW w:w="0" w:type="auto"/>
            <w:tcBorders>
              <w:top w:val="single" w:color="auto" w:sz="4" w:space="0"/>
              <w:left w:val="single" w:color="auto" w:sz="4" w:space="0"/>
              <w:bottom w:val="single" w:color="auto" w:sz="4" w:space="0"/>
              <w:right w:val="single" w:color="auto" w:sz="6" w:space="0"/>
            </w:tcBorders>
            <w:vAlign w:val="center"/>
          </w:tcPr>
          <w:p w14:paraId="07B1A590">
            <w:pPr>
              <w:adjustRightInd w:val="0"/>
              <w:snapToGrid w:val="0"/>
              <w:spacing w:line="240" w:lineRule="exact"/>
              <w:jc w:val="center"/>
              <w:rPr>
                <w:rFonts w:ascii="仿宋" w:hAnsi="仿宋" w:eastAsia="仿宋" w:cs="仿宋"/>
                <w:sz w:val="24"/>
              </w:rPr>
            </w:pPr>
            <w:r>
              <w:rPr>
                <w:rFonts w:hint="eastAsia" w:ascii="仿宋" w:hAnsi="仿宋" w:eastAsia="仿宋" w:cs="仿宋"/>
                <w:sz w:val="24"/>
              </w:rPr>
              <w:t>预期性</w:t>
            </w:r>
          </w:p>
        </w:tc>
      </w:tr>
    </w:tbl>
    <w:p w14:paraId="2810EFC2">
      <w:pPr>
        <w:widowControl/>
        <w:spacing w:beforeAutospacing="1" w:afterAutospacing="1"/>
        <w:jc w:val="left"/>
        <w:rPr>
          <w:rFonts w:ascii="仿宋" w:hAnsi="仿宋" w:eastAsia="仿宋" w:cs="仿宋"/>
          <w:sz w:val="24"/>
          <w:szCs w:val="24"/>
        </w:rPr>
        <w:sectPr>
          <w:footerReference r:id="rId5" w:type="default"/>
          <w:pgSz w:w="11906" w:h="16838"/>
          <w:pgMar w:top="1701" w:right="1474" w:bottom="1701" w:left="1588" w:header="851" w:footer="992" w:gutter="0"/>
          <w:pgNumType w:start="1"/>
          <w:cols w:space="720" w:num="1"/>
          <w:docGrid w:type="lines" w:linePitch="312" w:charSpace="0"/>
        </w:sectPr>
      </w:pPr>
      <w:r>
        <w:rPr>
          <w:rFonts w:hint="eastAsia" w:ascii="仿宋" w:hAnsi="仿宋" w:eastAsia="仿宋" w:cs="仿宋"/>
          <w:sz w:val="24"/>
          <w:szCs w:val="24"/>
        </w:rPr>
        <w:t>备注：</w:t>
      </w: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 1 \* GB3</w:instrText>
      </w:r>
      <w:r>
        <w:rPr>
          <w:rFonts w:ascii="仿宋" w:hAnsi="仿宋" w:eastAsia="仿宋" w:cs="仿宋"/>
          <w:sz w:val="24"/>
          <w:szCs w:val="24"/>
        </w:rPr>
        <w:instrText xml:space="preserve"> </w:instrText>
      </w:r>
      <w:r>
        <w:rPr>
          <w:rFonts w:ascii="仿宋" w:hAnsi="仿宋" w:eastAsia="仿宋" w:cs="仿宋"/>
          <w:sz w:val="24"/>
          <w:szCs w:val="24"/>
        </w:rPr>
        <w:fldChar w:fldCharType="separate"/>
      </w:r>
      <w:r>
        <w:rPr>
          <w:rFonts w:hint="eastAsia" w:ascii="仿宋" w:hAnsi="仿宋" w:eastAsia="仿宋" w:cs="仿宋"/>
          <w:sz w:val="24"/>
          <w:szCs w:val="24"/>
        </w:rPr>
        <w:t>①</w:t>
      </w:r>
      <w:r>
        <w:rPr>
          <w:rFonts w:ascii="仿宋" w:hAnsi="仿宋" w:eastAsia="仿宋" w:cs="仿宋"/>
          <w:sz w:val="24"/>
          <w:szCs w:val="24"/>
        </w:rPr>
        <w:fldChar w:fldCharType="end"/>
      </w:r>
      <w:r>
        <w:rPr>
          <w:rFonts w:hint="eastAsia" w:ascii="仿宋" w:hAnsi="仿宋" w:eastAsia="仿宋" w:cs="仿宋"/>
          <w:sz w:val="24"/>
          <w:szCs w:val="24"/>
        </w:rPr>
        <w:t>[</w:t>
      </w:r>
      <w:r>
        <w:rPr>
          <w:rFonts w:ascii="仿宋" w:hAnsi="仿宋" w:eastAsia="仿宋" w:cs="仿宋"/>
          <w:sz w:val="24"/>
          <w:szCs w:val="24"/>
        </w:rPr>
        <w:t>]</w:t>
      </w:r>
      <w:r>
        <w:rPr>
          <w:rFonts w:hint="eastAsia" w:ascii="仿宋" w:hAnsi="仿宋" w:eastAsia="仿宋" w:cs="仿宋"/>
          <w:sz w:val="24"/>
          <w:szCs w:val="24"/>
        </w:rPr>
        <w:t>表示五年累计；</w:t>
      </w: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 2 \* GB3</w:instrText>
      </w:r>
      <w:r>
        <w:rPr>
          <w:rFonts w:ascii="仿宋" w:hAnsi="仿宋" w:eastAsia="仿宋" w:cs="仿宋"/>
          <w:sz w:val="24"/>
          <w:szCs w:val="24"/>
        </w:rPr>
        <w:instrText xml:space="preserve"> </w:instrText>
      </w:r>
      <w:r>
        <w:rPr>
          <w:rFonts w:ascii="仿宋" w:hAnsi="仿宋" w:eastAsia="仿宋" w:cs="仿宋"/>
          <w:sz w:val="24"/>
          <w:szCs w:val="24"/>
        </w:rPr>
        <w:fldChar w:fldCharType="separate"/>
      </w:r>
      <w:r>
        <w:rPr>
          <w:rFonts w:hint="eastAsia" w:ascii="仿宋" w:hAnsi="仿宋" w:eastAsia="仿宋" w:cs="仿宋"/>
          <w:sz w:val="24"/>
          <w:szCs w:val="24"/>
        </w:rPr>
        <w:t>②</w:t>
      </w:r>
      <w:r>
        <w:rPr>
          <w:rFonts w:ascii="仿宋" w:hAnsi="仿宋" w:eastAsia="仿宋" w:cs="仿宋"/>
          <w:sz w:val="24"/>
          <w:szCs w:val="24"/>
        </w:rPr>
        <w:fldChar w:fldCharType="end"/>
      </w:r>
      <w:r>
        <w:rPr>
          <w:rFonts w:hint="eastAsia" w:ascii="仿宋" w:hAnsi="仿宋" w:eastAsia="仿宋" w:cs="仿宋"/>
          <w:sz w:val="24"/>
          <w:szCs w:val="24"/>
        </w:rPr>
        <w:t>#来源于《西安市“十四五”生态环境保护规划》；</w:t>
      </w:r>
      <w:r>
        <w:rPr>
          <w:rFonts w:ascii="仿宋" w:hAnsi="仿宋" w:eastAsia="仿宋" w:cs="仿宋"/>
          <w:sz w:val="24"/>
          <w:szCs w:val="24"/>
        </w:rPr>
        <w:fldChar w:fldCharType="begin"/>
      </w:r>
      <w:r>
        <w:rPr>
          <w:rFonts w:ascii="仿宋" w:hAnsi="仿宋" w:eastAsia="仿宋" w:cs="仿宋"/>
          <w:sz w:val="24"/>
          <w:szCs w:val="24"/>
        </w:rPr>
        <w:instrText xml:space="preserve"> </w:instrText>
      </w:r>
      <w:r>
        <w:rPr>
          <w:rFonts w:hint="eastAsia" w:ascii="仿宋" w:hAnsi="仿宋" w:eastAsia="仿宋" w:cs="仿宋"/>
          <w:sz w:val="24"/>
          <w:szCs w:val="24"/>
        </w:rPr>
        <w:instrText xml:space="preserve">= 3 \* GB3</w:instrText>
      </w:r>
      <w:r>
        <w:rPr>
          <w:rFonts w:ascii="仿宋" w:hAnsi="仿宋" w:eastAsia="仿宋" w:cs="仿宋"/>
          <w:sz w:val="24"/>
          <w:szCs w:val="24"/>
        </w:rPr>
        <w:instrText xml:space="preserve"> </w:instrText>
      </w:r>
      <w:r>
        <w:rPr>
          <w:rFonts w:ascii="仿宋" w:hAnsi="仿宋" w:eastAsia="仿宋" w:cs="仿宋"/>
          <w:sz w:val="24"/>
          <w:szCs w:val="24"/>
        </w:rPr>
        <w:fldChar w:fldCharType="separate"/>
      </w:r>
      <w:r>
        <w:rPr>
          <w:rFonts w:hint="eastAsia" w:ascii="仿宋" w:hAnsi="仿宋" w:eastAsia="仿宋" w:cs="仿宋"/>
          <w:sz w:val="24"/>
          <w:szCs w:val="24"/>
        </w:rPr>
        <w:t>③</w:t>
      </w:r>
      <w:r>
        <w:rPr>
          <w:rFonts w:ascii="仿宋" w:hAnsi="仿宋" w:eastAsia="仿宋" w:cs="仿宋"/>
          <w:sz w:val="24"/>
          <w:szCs w:val="24"/>
        </w:rPr>
        <w:fldChar w:fldCharType="end"/>
      </w:r>
      <w:r>
        <w:rPr>
          <w:rFonts w:hint="eastAsia" w:ascii="仿宋" w:hAnsi="仿宋" w:eastAsia="仿宋" w:cs="仿宋"/>
          <w:sz w:val="24"/>
          <w:szCs w:val="24"/>
        </w:rPr>
        <w:t>以上指标均以省级和市级下达指标为准。</w:t>
      </w:r>
    </w:p>
    <w:bookmarkEnd w:id="110"/>
    <w:bookmarkEnd w:id="111"/>
    <w:bookmarkEnd w:id="112"/>
    <w:bookmarkEnd w:id="113"/>
    <w:bookmarkEnd w:id="114"/>
    <w:bookmarkEnd w:id="115"/>
    <w:bookmarkEnd w:id="116"/>
    <w:bookmarkEnd w:id="117"/>
    <w:bookmarkEnd w:id="118"/>
    <w:bookmarkEnd w:id="119"/>
    <w:p w14:paraId="5B8A8A89">
      <w:pPr>
        <w:adjustRightInd w:val="0"/>
        <w:snapToGrid w:val="0"/>
        <w:jc w:val="center"/>
        <w:outlineLvl w:val="0"/>
        <w:rPr>
          <w:rFonts w:ascii="仿宋" w:hAnsi="仿宋" w:eastAsia="仿宋" w:cs="仿宋"/>
          <w:b/>
          <w:sz w:val="32"/>
          <w:szCs w:val="32"/>
        </w:rPr>
      </w:pPr>
      <w:bookmarkStart w:id="120" w:name="_Toc101253365"/>
      <w:bookmarkStart w:id="121" w:name="_Toc4949"/>
      <w:bookmarkStart w:id="122" w:name="_Toc21811"/>
      <w:bookmarkStart w:id="123" w:name="_Toc16517"/>
      <w:bookmarkStart w:id="124" w:name="_Toc1980"/>
      <w:bookmarkStart w:id="125" w:name="_Toc30986"/>
      <w:bookmarkStart w:id="126" w:name="_Toc457484793"/>
      <w:bookmarkStart w:id="127" w:name="_Toc466886022"/>
      <w:bookmarkStart w:id="128" w:name="_Toc12764"/>
      <w:bookmarkStart w:id="129" w:name="_Toc23102"/>
      <w:bookmarkStart w:id="130" w:name="_Toc27465"/>
      <w:r>
        <w:rPr>
          <w:rFonts w:hint="eastAsia" w:ascii="仿宋" w:hAnsi="仿宋" w:eastAsia="仿宋" w:cs="仿宋"/>
          <w:b/>
          <w:sz w:val="32"/>
          <w:szCs w:val="32"/>
        </w:rPr>
        <w:t>第三章  推动产业循环发展，促进经济高质量发展</w:t>
      </w:r>
      <w:bookmarkEnd w:id="120"/>
    </w:p>
    <w:p w14:paraId="15FB80BE">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以生态优先、绿色发展为导向，协同推进经济高质量发展和生态环境高水平保护。严格落实西安市“三线一单”，有序开展生态环境保护分区分类精准管制，积极促进结构调整和转型升级，提高经济发展的生态效率。突出源头管控，优化布局，构建高效协调可持续的国土空间开发新格局。</w:t>
      </w:r>
    </w:p>
    <w:p w14:paraId="4893D94C">
      <w:pPr>
        <w:pStyle w:val="4"/>
        <w:adjustRightInd w:val="0"/>
        <w:snapToGrid w:val="0"/>
        <w:spacing w:line="560" w:lineRule="exact"/>
        <w:ind w:firstLine="0" w:firstLineChars="0"/>
        <w:jc w:val="center"/>
        <w:rPr>
          <w:rFonts w:ascii="仿宋" w:hAnsi="仿宋" w:cs="仿宋"/>
          <w:bCs w:val="0"/>
          <w:sz w:val="32"/>
        </w:rPr>
      </w:pPr>
      <w:bookmarkStart w:id="131" w:name="_Toc101253366"/>
      <w:r>
        <w:rPr>
          <w:rFonts w:hint="eastAsia" w:ascii="仿宋" w:hAnsi="仿宋" w:cs="仿宋"/>
          <w:bCs w:val="0"/>
          <w:sz w:val="32"/>
        </w:rPr>
        <w:t xml:space="preserve">第一节  </w:t>
      </w:r>
      <w:r>
        <w:rPr>
          <w:rFonts w:hint="eastAsia" w:ascii="仿宋" w:hAnsi="仿宋" w:cs="仿宋"/>
          <w:sz w:val="32"/>
        </w:rPr>
        <w:t>严格管控“三线一单”，</w:t>
      </w:r>
      <w:r>
        <w:rPr>
          <w:rFonts w:hint="eastAsia" w:ascii="仿宋" w:hAnsi="仿宋" w:cs="仿宋"/>
          <w:bCs w:val="0"/>
          <w:sz w:val="32"/>
        </w:rPr>
        <w:t>推进绿色城市建设</w:t>
      </w:r>
      <w:bookmarkEnd w:id="131"/>
    </w:p>
    <w:p w14:paraId="7AFAAC8D">
      <w:pPr>
        <w:adjustRightInd w:val="0"/>
        <w:snapToGrid w:val="0"/>
        <w:ind w:firstLine="643" w:firstLineChars="200"/>
        <w:rPr>
          <w:rFonts w:ascii="仿宋" w:hAnsi="仿宋" w:eastAsia="仿宋" w:cs="仿宋"/>
          <w:b/>
          <w:sz w:val="32"/>
          <w:szCs w:val="32"/>
        </w:rPr>
      </w:pPr>
      <w:bookmarkStart w:id="132" w:name="_Toc16155"/>
      <w:bookmarkStart w:id="133" w:name="_Toc25657"/>
      <w:bookmarkStart w:id="134" w:name="_Toc20514"/>
      <w:bookmarkStart w:id="135" w:name="_Toc29507"/>
      <w:bookmarkStart w:id="136" w:name="_Toc23636"/>
      <w:bookmarkStart w:id="137" w:name="_Toc457484795"/>
      <w:bookmarkStart w:id="138" w:name="_Toc8357"/>
      <w:bookmarkStart w:id="139" w:name="_Toc466886024"/>
      <w:bookmarkStart w:id="140" w:name="_Toc5013"/>
      <w:bookmarkStart w:id="141" w:name="_Toc10648"/>
      <w:bookmarkStart w:id="142" w:name="_Toc432766434"/>
      <w:bookmarkStart w:id="143" w:name="_Toc432774330"/>
      <w:bookmarkStart w:id="144" w:name="_Toc432767629"/>
      <w:r>
        <w:rPr>
          <w:rFonts w:hint="eastAsia" w:ascii="仿宋" w:hAnsi="仿宋" w:eastAsia="仿宋" w:cs="仿宋"/>
          <w:b/>
          <w:sz w:val="32"/>
          <w:szCs w:val="32"/>
        </w:rPr>
        <w:t>一、</w:t>
      </w:r>
      <w:bookmarkEnd w:id="132"/>
      <w:bookmarkEnd w:id="133"/>
      <w:bookmarkEnd w:id="134"/>
      <w:bookmarkEnd w:id="135"/>
      <w:bookmarkEnd w:id="136"/>
      <w:bookmarkEnd w:id="137"/>
      <w:bookmarkEnd w:id="138"/>
      <w:bookmarkEnd w:id="139"/>
      <w:bookmarkEnd w:id="140"/>
      <w:bookmarkEnd w:id="141"/>
      <w:r>
        <w:rPr>
          <w:rFonts w:hint="eastAsia" w:ascii="仿宋" w:hAnsi="仿宋" w:eastAsia="仿宋" w:cs="仿宋"/>
          <w:sz w:val="32"/>
          <w:szCs w:val="32"/>
        </w:rPr>
        <w:t>严格管控“三线一单”</w:t>
      </w:r>
    </w:p>
    <w:p w14:paraId="7B14B241">
      <w:pPr>
        <w:adjustRightInd w:val="0"/>
        <w:snapToGrid w:val="0"/>
        <w:ind w:firstLine="562"/>
        <w:rPr>
          <w:rFonts w:ascii="仿宋" w:hAnsi="仿宋" w:eastAsia="仿宋" w:cs="仿宋"/>
          <w:sz w:val="32"/>
          <w:szCs w:val="32"/>
        </w:rPr>
      </w:pPr>
      <w:bookmarkStart w:id="145" w:name="_Toc30127"/>
      <w:bookmarkStart w:id="146" w:name="_Toc432767627"/>
      <w:bookmarkStart w:id="147" w:name="_Toc12424"/>
      <w:bookmarkStart w:id="148" w:name="_Toc432766432"/>
      <w:bookmarkStart w:id="149" w:name="_Toc432774328"/>
      <w:bookmarkStart w:id="150" w:name="_Toc28596"/>
      <w:bookmarkStart w:id="151" w:name="_Toc2697"/>
      <w:r>
        <w:rPr>
          <w:rFonts w:hint="eastAsia" w:ascii="仿宋_GB2312" w:hAnsi="仿宋_GB2312" w:eastAsia="仿宋_GB2312" w:cs="仿宋_GB2312"/>
          <w:kern w:val="0"/>
          <w:sz w:val="31"/>
          <w:szCs w:val="31"/>
          <w:lang w:bidi="ar"/>
        </w:rPr>
        <w:t>根据《西安市“三线一单”生态环境分区管控方案》，针对雁塔区涉及的5个</w:t>
      </w:r>
      <w:r>
        <w:rPr>
          <w:rFonts w:ascii="仿宋_GB2312" w:hAnsi="仿宋_GB2312" w:eastAsia="仿宋_GB2312" w:cs="仿宋_GB2312"/>
          <w:kern w:val="0"/>
          <w:sz w:val="31"/>
          <w:szCs w:val="31"/>
          <w:lang w:bidi="ar"/>
        </w:rPr>
        <w:t>重点管控单元优化空间布局和产业布局，结合生态环境质量达标情况以及经济社会发展水平等，按照差别化的生态环境准入要求，</w:t>
      </w:r>
      <w:r>
        <w:rPr>
          <w:rFonts w:hint="eastAsia" w:ascii="仿宋" w:hAnsi="仿宋" w:eastAsia="仿宋" w:cs="仿宋"/>
          <w:sz w:val="32"/>
          <w:szCs w:val="32"/>
        </w:rPr>
        <w:t>雁塔区将“三线一单”要求贯穿于区域资源开发、产业布局和结构调整、城镇建设、重大项目选址、执法监管等全过程，</w:t>
      </w:r>
      <w:r>
        <w:rPr>
          <w:rFonts w:ascii="仿宋_GB2312" w:hAnsi="仿宋_GB2312" w:eastAsia="仿宋_GB2312" w:cs="仿宋_GB2312"/>
          <w:kern w:val="0"/>
          <w:sz w:val="31"/>
          <w:szCs w:val="31"/>
          <w:lang w:bidi="ar"/>
        </w:rPr>
        <w:t xml:space="preserve">加强污染物排放控制和环境风险防控，不断提升资源利用效率，稳步改善生态环境质量。 </w:t>
      </w:r>
    </w:p>
    <w:p w14:paraId="5799D779">
      <w:pPr>
        <w:adjustRightInd w:val="0"/>
        <w:snapToGrid w:val="0"/>
        <w:ind w:firstLine="562"/>
        <w:rPr>
          <w:rFonts w:ascii="仿宋" w:hAnsi="仿宋" w:eastAsia="仿宋" w:cs="仿宋"/>
          <w:b/>
          <w:bCs/>
          <w:sz w:val="32"/>
          <w:szCs w:val="32"/>
        </w:rPr>
      </w:pPr>
      <w:r>
        <w:rPr>
          <w:rFonts w:hint="eastAsia" w:ascii="仿宋" w:hAnsi="仿宋" w:eastAsia="仿宋" w:cs="仿宋"/>
          <w:b/>
          <w:bCs/>
          <w:sz w:val="32"/>
          <w:szCs w:val="32"/>
        </w:rPr>
        <w:t>二、落实空间发展格局，提升工业用地效率</w:t>
      </w:r>
      <w:bookmarkEnd w:id="145"/>
      <w:bookmarkEnd w:id="146"/>
      <w:bookmarkEnd w:id="147"/>
      <w:bookmarkEnd w:id="148"/>
      <w:bookmarkEnd w:id="149"/>
      <w:bookmarkEnd w:id="150"/>
      <w:bookmarkEnd w:id="151"/>
    </w:p>
    <w:p w14:paraId="3DC05428">
      <w:pPr>
        <w:adjustRightInd w:val="0"/>
        <w:snapToGrid w:val="0"/>
        <w:ind w:firstLine="640" w:firstLineChars="200"/>
        <w:rPr>
          <w:rFonts w:ascii="仿宋" w:hAnsi="仿宋" w:eastAsia="仿宋" w:cs="仿宋"/>
          <w:sz w:val="32"/>
          <w:szCs w:val="32"/>
        </w:rPr>
      </w:pPr>
      <w:bookmarkStart w:id="152" w:name="_Toc432767628"/>
      <w:bookmarkStart w:id="153" w:name="_Toc432774329"/>
      <w:bookmarkStart w:id="154" w:name="_Toc432766433"/>
      <w:r>
        <w:rPr>
          <w:rFonts w:hint="eastAsia" w:ascii="仿宋" w:hAnsi="仿宋" w:eastAsia="仿宋" w:cs="仿宋"/>
          <w:sz w:val="32"/>
          <w:szCs w:val="32"/>
        </w:rPr>
        <w:t>强化国土资源集约利用，全面加快资源整合，建立健全“亩产效益”综合评价机制，加快消化批而未供、供而未用土地、加大闲置土地消化处置力度，构建特色鲜明、结构合理、链群完成、竞争力强的现代产业体系，打造引领西部发展的高质量发展示范区。</w:t>
      </w:r>
    </w:p>
    <w:bookmarkEnd w:id="152"/>
    <w:bookmarkEnd w:id="153"/>
    <w:bookmarkEnd w:id="154"/>
    <w:p w14:paraId="1B785064">
      <w:pPr>
        <w:adjustRightInd w:val="0"/>
        <w:snapToGrid w:val="0"/>
        <w:ind w:firstLine="643" w:firstLineChars="200"/>
        <w:rPr>
          <w:rFonts w:ascii="仿宋" w:hAnsi="仿宋" w:eastAsia="仿宋" w:cs="仿宋"/>
          <w:b/>
          <w:sz w:val="32"/>
          <w:szCs w:val="32"/>
        </w:rPr>
      </w:pPr>
      <w:bookmarkStart w:id="155" w:name="_Toc23927"/>
      <w:bookmarkStart w:id="156" w:name="_Toc19261"/>
      <w:bookmarkStart w:id="157" w:name="_Toc4813"/>
      <w:bookmarkStart w:id="158" w:name="_Toc21656"/>
      <w:bookmarkStart w:id="159" w:name="_Toc5003"/>
      <w:bookmarkStart w:id="160" w:name="_Toc16425"/>
      <w:bookmarkStart w:id="161" w:name="_Toc466886025"/>
      <w:bookmarkStart w:id="162" w:name="_Toc28061"/>
      <w:bookmarkStart w:id="163" w:name="_Toc457484797"/>
      <w:bookmarkStart w:id="164" w:name="_Toc29242"/>
      <w:r>
        <w:rPr>
          <w:rFonts w:hint="eastAsia" w:ascii="仿宋" w:hAnsi="仿宋" w:eastAsia="仿宋" w:cs="仿宋"/>
          <w:b/>
          <w:sz w:val="32"/>
          <w:szCs w:val="32"/>
        </w:rPr>
        <w:t>三、提高城镇用地效率，改善城乡人居环境</w:t>
      </w:r>
      <w:bookmarkEnd w:id="142"/>
      <w:bookmarkEnd w:id="143"/>
      <w:bookmarkEnd w:id="144"/>
      <w:bookmarkEnd w:id="155"/>
      <w:bookmarkEnd w:id="156"/>
      <w:bookmarkEnd w:id="157"/>
      <w:bookmarkEnd w:id="158"/>
      <w:bookmarkEnd w:id="159"/>
      <w:bookmarkEnd w:id="160"/>
      <w:bookmarkEnd w:id="161"/>
      <w:bookmarkEnd w:id="162"/>
      <w:bookmarkEnd w:id="163"/>
      <w:bookmarkEnd w:id="164"/>
    </w:p>
    <w:p w14:paraId="4EB895CC">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坚持以人为本、公平共享的原则，以人的城镇化为核心，稳步推进城镇基本公共服务常住人口全覆盖，促进城乡要素平等交换和公共资源均衡配置，实现村民就地、就近城镇化。贯彻实施总体布局规划，对区域内村庄进行建设策略分类指导，分区、分类引导村庄的整治、改造和建设，依条件成熟情况逐步推进撤并工作，引导城乡空间一体化统筹发展。</w:t>
      </w:r>
    </w:p>
    <w:p w14:paraId="7F800B38">
      <w:pPr>
        <w:pStyle w:val="27"/>
        <w:ind w:left="0" w:leftChars="0" w:firstLine="643"/>
        <w:jc w:val="center"/>
        <w:rPr>
          <w:rFonts w:ascii="仿宋" w:hAnsi="仿宋" w:eastAsia="仿宋" w:cs="仿宋"/>
          <w:b/>
          <w:bCs/>
          <w:sz w:val="32"/>
          <w:szCs w:val="32"/>
        </w:rPr>
      </w:pPr>
      <w:r>
        <w:rPr>
          <w:rFonts w:hint="eastAsia" w:ascii="仿宋" w:hAnsi="仿宋" w:eastAsia="仿宋" w:cs="仿宋"/>
          <w:b/>
          <w:bCs/>
          <w:sz w:val="32"/>
          <w:szCs w:val="32"/>
        </w:rPr>
        <w:t>表2  “十四五”城市有机更新计划改造项目表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776"/>
        <w:gridCol w:w="1896"/>
        <w:gridCol w:w="1653"/>
        <w:gridCol w:w="1589"/>
        <w:gridCol w:w="1296"/>
      </w:tblGrid>
      <w:tr w14:paraId="48F4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vAlign w:val="center"/>
          </w:tcPr>
          <w:p w14:paraId="14B044C7">
            <w:pPr>
              <w:spacing w:line="3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3706712B">
            <w:pPr>
              <w:spacing w:line="300" w:lineRule="exact"/>
              <w:jc w:val="center"/>
              <w:rPr>
                <w:rFonts w:ascii="仿宋" w:hAnsi="仿宋" w:eastAsia="仿宋" w:cs="仿宋"/>
                <w:sz w:val="24"/>
                <w:szCs w:val="24"/>
              </w:rPr>
            </w:pPr>
            <w:r>
              <w:rPr>
                <w:rFonts w:hint="eastAsia" w:ascii="仿宋" w:hAnsi="仿宋" w:eastAsia="仿宋" w:cs="仿宋"/>
                <w:sz w:val="24"/>
                <w:szCs w:val="24"/>
              </w:rPr>
              <w:t>改造区块</w:t>
            </w:r>
          </w:p>
        </w:tc>
        <w:tc>
          <w:tcPr>
            <w:tcW w:w="0" w:type="auto"/>
            <w:tcBorders>
              <w:top w:val="single" w:color="auto" w:sz="4" w:space="0"/>
              <w:left w:val="single" w:color="auto" w:sz="4" w:space="0"/>
              <w:bottom w:val="single" w:color="auto" w:sz="4" w:space="0"/>
              <w:right w:val="single" w:color="auto" w:sz="4" w:space="0"/>
            </w:tcBorders>
            <w:vAlign w:val="center"/>
          </w:tcPr>
          <w:p w14:paraId="3BD09559">
            <w:pPr>
              <w:spacing w:line="300" w:lineRule="exact"/>
              <w:jc w:val="center"/>
              <w:rPr>
                <w:rFonts w:ascii="仿宋" w:hAnsi="仿宋" w:eastAsia="仿宋" w:cs="仿宋"/>
                <w:sz w:val="24"/>
                <w:szCs w:val="24"/>
              </w:rPr>
            </w:pPr>
            <w:r>
              <w:rPr>
                <w:rFonts w:hint="eastAsia" w:ascii="仿宋" w:hAnsi="仿宋" w:eastAsia="仿宋" w:cs="仿宋"/>
                <w:sz w:val="24"/>
                <w:szCs w:val="24"/>
              </w:rPr>
              <w:t>改造户数（户）</w:t>
            </w:r>
          </w:p>
        </w:tc>
        <w:tc>
          <w:tcPr>
            <w:tcW w:w="1653" w:type="dxa"/>
            <w:tcBorders>
              <w:top w:val="single" w:color="auto" w:sz="4" w:space="0"/>
              <w:left w:val="single" w:color="auto" w:sz="4" w:space="0"/>
              <w:bottom w:val="single" w:color="auto" w:sz="4" w:space="0"/>
              <w:right w:val="single" w:color="auto" w:sz="4" w:space="0"/>
            </w:tcBorders>
            <w:vAlign w:val="center"/>
          </w:tcPr>
          <w:p w14:paraId="772CF4F9">
            <w:pPr>
              <w:spacing w:line="300" w:lineRule="exact"/>
              <w:jc w:val="center"/>
              <w:rPr>
                <w:rFonts w:ascii="仿宋" w:hAnsi="仿宋" w:eastAsia="仿宋" w:cs="仿宋"/>
                <w:sz w:val="24"/>
                <w:szCs w:val="24"/>
              </w:rPr>
            </w:pPr>
            <w:r>
              <w:rPr>
                <w:rFonts w:hint="eastAsia" w:ascii="仿宋" w:hAnsi="仿宋" w:eastAsia="仿宋" w:cs="仿宋"/>
                <w:sz w:val="24"/>
                <w:szCs w:val="24"/>
              </w:rPr>
              <w:t>改造面积（万m</w:t>
            </w:r>
            <w:r>
              <w:rPr>
                <w:rFonts w:hint="eastAsia" w:ascii="仿宋" w:hAnsi="仿宋" w:eastAsia="仿宋" w:cs="仿宋"/>
                <w:sz w:val="24"/>
                <w:szCs w:val="24"/>
                <w:vertAlign w:val="superscript"/>
              </w:rPr>
              <w:t>2</w:t>
            </w:r>
            <w:r>
              <w:rPr>
                <w:rFonts w:hint="eastAsia" w:ascii="仿宋" w:hAnsi="仿宋" w:eastAsia="仿宋" w:cs="仿宋"/>
                <w:sz w:val="24"/>
                <w:szCs w:val="24"/>
              </w:rPr>
              <w:t>）</w:t>
            </w:r>
          </w:p>
        </w:tc>
        <w:tc>
          <w:tcPr>
            <w:tcW w:w="1589" w:type="dxa"/>
            <w:tcBorders>
              <w:top w:val="single" w:color="auto" w:sz="4" w:space="0"/>
              <w:left w:val="single" w:color="auto" w:sz="4" w:space="0"/>
              <w:bottom w:val="single" w:color="auto" w:sz="4" w:space="0"/>
              <w:right w:val="single" w:color="auto" w:sz="4" w:space="0"/>
            </w:tcBorders>
            <w:vAlign w:val="center"/>
          </w:tcPr>
          <w:p w14:paraId="6490E2B3">
            <w:pPr>
              <w:spacing w:line="300" w:lineRule="exact"/>
              <w:jc w:val="center"/>
              <w:rPr>
                <w:rFonts w:ascii="仿宋" w:hAnsi="仿宋" w:eastAsia="仿宋" w:cs="仿宋"/>
                <w:sz w:val="24"/>
                <w:szCs w:val="24"/>
              </w:rPr>
            </w:pPr>
            <w:r>
              <w:rPr>
                <w:rFonts w:hint="eastAsia" w:ascii="仿宋" w:hAnsi="仿宋" w:eastAsia="仿宋" w:cs="仿宋"/>
                <w:sz w:val="24"/>
                <w:szCs w:val="24"/>
              </w:rPr>
              <w:t>安置方式</w:t>
            </w:r>
          </w:p>
        </w:tc>
        <w:tc>
          <w:tcPr>
            <w:tcW w:w="0" w:type="auto"/>
            <w:tcBorders>
              <w:top w:val="single" w:color="auto" w:sz="4" w:space="0"/>
              <w:left w:val="single" w:color="auto" w:sz="4" w:space="0"/>
              <w:bottom w:val="single" w:color="auto" w:sz="4" w:space="0"/>
              <w:right w:val="single" w:color="auto" w:sz="4" w:space="0"/>
            </w:tcBorders>
            <w:vAlign w:val="center"/>
          </w:tcPr>
          <w:p w14:paraId="7DFF8426">
            <w:pPr>
              <w:spacing w:line="300" w:lineRule="exact"/>
              <w:jc w:val="center"/>
              <w:rPr>
                <w:rFonts w:ascii="仿宋" w:hAnsi="仿宋" w:eastAsia="仿宋" w:cs="仿宋"/>
                <w:sz w:val="24"/>
                <w:szCs w:val="24"/>
              </w:rPr>
            </w:pPr>
            <w:r>
              <w:rPr>
                <w:rFonts w:hint="eastAsia" w:ascii="仿宋" w:hAnsi="仿宋" w:eastAsia="仿宋" w:cs="仿宋"/>
                <w:sz w:val="24"/>
                <w:szCs w:val="24"/>
              </w:rPr>
              <w:t>实施时间</w:t>
            </w:r>
          </w:p>
        </w:tc>
      </w:tr>
      <w:tr w14:paraId="4399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D4E533B">
            <w:pPr>
              <w:spacing w:line="300" w:lineRule="exact"/>
              <w:jc w:val="center"/>
              <w:rPr>
                <w:rFonts w:ascii="仿宋" w:hAnsi="仿宋" w:eastAsia="仿宋" w:cs="仿宋"/>
                <w:sz w:val="24"/>
                <w:szCs w:val="24"/>
              </w:rPr>
            </w:pPr>
            <w:r>
              <w:rPr>
                <w:rFonts w:hint="eastAsia" w:ascii="仿宋" w:hAnsi="仿宋" w:eastAsia="仿宋" w:cs="仿宋"/>
                <w:sz w:val="24"/>
                <w:szCs w:val="24"/>
              </w:rPr>
              <w:t>1</w:t>
            </w:r>
          </w:p>
        </w:tc>
        <w:tc>
          <w:tcPr>
            <w:tcW w:w="0" w:type="auto"/>
            <w:tcBorders>
              <w:top w:val="single" w:color="auto" w:sz="4" w:space="0"/>
              <w:left w:val="single" w:color="auto" w:sz="4" w:space="0"/>
              <w:bottom w:val="single" w:color="auto" w:sz="4" w:space="0"/>
              <w:right w:val="single" w:color="auto" w:sz="4" w:space="0"/>
            </w:tcBorders>
            <w:vAlign w:val="center"/>
          </w:tcPr>
          <w:p w14:paraId="2AFEBABA">
            <w:pPr>
              <w:spacing w:line="300" w:lineRule="exact"/>
              <w:jc w:val="center"/>
              <w:rPr>
                <w:rFonts w:ascii="仿宋" w:hAnsi="仿宋" w:eastAsia="仿宋" w:cs="仿宋"/>
                <w:sz w:val="24"/>
                <w:szCs w:val="24"/>
              </w:rPr>
            </w:pPr>
            <w:r>
              <w:rPr>
                <w:rFonts w:hint="eastAsia" w:ascii="仿宋" w:hAnsi="仿宋" w:eastAsia="仿宋" w:cs="仿宋"/>
                <w:sz w:val="24"/>
                <w:szCs w:val="24"/>
              </w:rPr>
              <w:t>沙井村</w:t>
            </w:r>
          </w:p>
        </w:tc>
        <w:tc>
          <w:tcPr>
            <w:tcW w:w="0" w:type="auto"/>
            <w:tcBorders>
              <w:top w:val="single" w:color="auto" w:sz="4" w:space="0"/>
              <w:left w:val="single" w:color="auto" w:sz="4" w:space="0"/>
              <w:bottom w:val="single" w:color="auto" w:sz="4" w:space="0"/>
              <w:right w:val="single" w:color="auto" w:sz="4" w:space="0"/>
            </w:tcBorders>
            <w:vAlign w:val="center"/>
          </w:tcPr>
          <w:p w14:paraId="2D579E9D">
            <w:pPr>
              <w:spacing w:line="300" w:lineRule="exact"/>
              <w:jc w:val="center"/>
              <w:rPr>
                <w:rFonts w:ascii="仿宋" w:hAnsi="仿宋" w:eastAsia="仿宋" w:cs="仿宋"/>
                <w:sz w:val="24"/>
                <w:szCs w:val="24"/>
              </w:rPr>
            </w:pPr>
            <w:r>
              <w:rPr>
                <w:rFonts w:hint="eastAsia" w:ascii="仿宋" w:hAnsi="仿宋" w:eastAsia="仿宋" w:cs="仿宋"/>
                <w:sz w:val="24"/>
                <w:szCs w:val="24"/>
              </w:rPr>
              <w:t>840</w:t>
            </w:r>
          </w:p>
        </w:tc>
        <w:tc>
          <w:tcPr>
            <w:tcW w:w="1653" w:type="dxa"/>
            <w:tcBorders>
              <w:top w:val="single" w:color="auto" w:sz="4" w:space="0"/>
              <w:left w:val="single" w:color="auto" w:sz="4" w:space="0"/>
              <w:bottom w:val="single" w:color="auto" w:sz="4" w:space="0"/>
              <w:right w:val="single" w:color="auto" w:sz="4" w:space="0"/>
            </w:tcBorders>
            <w:vAlign w:val="center"/>
          </w:tcPr>
          <w:p w14:paraId="2FE82C16">
            <w:pPr>
              <w:spacing w:line="300" w:lineRule="exact"/>
              <w:jc w:val="center"/>
              <w:rPr>
                <w:rFonts w:ascii="仿宋" w:hAnsi="仿宋" w:eastAsia="仿宋" w:cs="仿宋"/>
                <w:sz w:val="24"/>
                <w:szCs w:val="24"/>
              </w:rPr>
            </w:pPr>
            <w:r>
              <w:rPr>
                <w:rFonts w:hint="eastAsia" w:ascii="仿宋" w:hAnsi="仿宋" w:eastAsia="仿宋" w:cs="仿宋"/>
                <w:sz w:val="24"/>
                <w:szCs w:val="24"/>
              </w:rPr>
              <w:t>76</w:t>
            </w:r>
          </w:p>
        </w:tc>
        <w:tc>
          <w:tcPr>
            <w:tcW w:w="1589" w:type="dxa"/>
            <w:tcBorders>
              <w:top w:val="single" w:color="auto" w:sz="4" w:space="0"/>
              <w:left w:val="single" w:color="auto" w:sz="4" w:space="0"/>
              <w:bottom w:val="single" w:color="auto" w:sz="4" w:space="0"/>
              <w:right w:val="single" w:color="auto" w:sz="4" w:space="0"/>
            </w:tcBorders>
            <w:vAlign w:val="center"/>
          </w:tcPr>
          <w:p w14:paraId="3C9420FE">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167240F8">
            <w:pPr>
              <w:spacing w:line="300" w:lineRule="exact"/>
              <w:jc w:val="center"/>
              <w:rPr>
                <w:rFonts w:ascii="仿宋" w:hAnsi="仿宋" w:eastAsia="仿宋" w:cs="仿宋"/>
                <w:sz w:val="24"/>
                <w:szCs w:val="24"/>
              </w:rPr>
            </w:pPr>
            <w:r>
              <w:rPr>
                <w:rFonts w:hint="eastAsia" w:ascii="仿宋" w:hAnsi="仿宋" w:eastAsia="仿宋" w:cs="仿宋"/>
                <w:sz w:val="24"/>
                <w:szCs w:val="24"/>
              </w:rPr>
              <w:t>2023-2025</w:t>
            </w:r>
          </w:p>
        </w:tc>
      </w:tr>
      <w:tr w14:paraId="5723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DA0D10A">
            <w:pPr>
              <w:spacing w:line="300" w:lineRule="exact"/>
              <w:jc w:val="center"/>
              <w:rPr>
                <w:rFonts w:ascii="仿宋" w:hAnsi="仿宋" w:eastAsia="仿宋" w:cs="仿宋"/>
                <w:sz w:val="24"/>
                <w:szCs w:val="24"/>
              </w:rPr>
            </w:pPr>
            <w:r>
              <w:rPr>
                <w:rFonts w:hint="eastAsia" w:ascii="仿宋" w:hAnsi="仿宋" w:eastAsia="仿宋" w:cs="仿宋"/>
                <w:sz w:val="24"/>
                <w:szCs w:val="24"/>
              </w:rPr>
              <w:t>2</w:t>
            </w:r>
          </w:p>
        </w:tc>
        <w:tc>
          <w:tcPr>
            <w:tcW w:w="0" w:type="auto"/>
            <w:tcBorders>
              <w:top w:val="single" w:color="auto" w:sz="4" w:space="0"/>
              <w:left w:val="single" w:color="auto" w:sz="4" w:space="0"/>
              <w:bottom w:val="single" w:color="auto" w:sz="4" w:space="0"/>
              <w:right w:val="single" w:color="auto" w:sz="4" w:space="0"/>
            </w:tcBorders>
            <w:vAlign w:val="center"/>
          </w:tcPr>
          <w:p w14:paraId="78F09572">
            <w:pPr>
              <w:spacing w:line="300" w:lineRule="exact"/>
              <w:jc w:val="center"/>
              <w:rPr>
                <w:rFonts w:ascii="仿宋" w:hAnsi="仿宋" w:eastAsia="仿宋" w:cs="仿宋"/>
                <w:sz w:val="24"/>
                <w:szCs w:val="24"/>
              </w:rPr>
            </w:pPr>
            <w:r>
              <w:rPr>
                <w:rFonts w:hint="eastAsia" w:ascii="仿宋" w:hAnsi="仿宋" w:eastAsia="仿宋" w:cs="仿宋"/>
                <w:sz w:val="24"/>
                <w:szCs w:val="24"/>
              </w:rPr>
              <w:t>徐家庄</w:t>
            </w:r>
          </w:p>
        </w:tc>
        <w:tc>
          <w:tcPr>
            <w:tcW w:w="0" w:type="auto"/>
            <w:tcBorders>
              <w:top w:val="single" w:color="auto" w:sz="4" w:space="0"/>
              <w:left w:val="single" w:color="auto" w:sz="4" w:space="0"/>
              <w:bottom w:val="single" w:color="auto" w:sz="4" w:space="0"/>
              <w:right w:val="single" w:color="auto" w:sz="4" w:space="0"/>
            </w:tcBorders>
            <w:vAlign w:val="center"/>
          </w:tcPr>
          <w:p w14:paraId="623FBEA5">
            <w:pPr>
              <w:spacing w:line="300" w:lineRule="exact"/>
              <w:jc w:val="center"/>
              <w:rPr>
                <w:rFonts w:ascii="仿宋" w:hAnsi="仿宋" w:eastAsia="仿宋" w:cs="仿宋"/>
                <w:sz w:val="24"/>
                <w:szCs w:val="24"/>
              </w:rPr>
            </w:pPr>
            <w:r>
              <w:rPr>
                <w:rFonts w:hint="eastAsia" w:ascii="仿宋" w:hAnsi="仿宋" w:eastAsia="仿宋" w:cs="仿宋"/>
                <w:sz w:val="24"/>
                <w:szCs w:val="24"/>
              </w:rPr>
              <w:t>670</w:t>
            </w:r>
          </w:p>
        </w:tc>
        <w:tc>
          <w:tcPr>
            <w:tcW w:w="1653" w:type="dxa"/>
            <w:tcBorders>
              <w:top w:val="single" w:color="auto" w:sz="4" w:space="0"/>
              <w:left w:val="single" w:color="auto" w:sz="4" w:space="0"/>
              <w:bottom w:val="single" w:color="auto" w:sz="4" w:space="0"/>
              <w:right w:val="single" w:color="auto" w:sz="4" w:space="0"/>
            </w:tcBorders>
            <w:vAlign w:val="center"/>
          </w:tcPr>
          <w:p w14:paraId="3CBDD343">
            <w:pPr>
              <w:spacing w:line="300" w:lineRule="exact"/>
              <w:jc w:val="center"/>
              <w:rPr>
                <w:rFonts w:ascii="仿宋" w:hAnsi="仿宋" w:eastAsia="仿宋" w:cs="仿宋"/>
                <w:sz w:val="24"/>
                <w:szCs w:val="24"/>
              </w:rPr>
            </w:pPr>
            <w:r>
              <w:rPr>
                <w:rFonts w:hint="eastAsia" w:ascii="仿宋" w:hAnsi="仿宋" w:eastAsia="仿宋" w:cs="仿宋"/>
                <w:sz w:val="24"/>
                <w:szCs w:val="24"/>
              </w:rPr>
              <w:t>37</w:t>
            </w:r>
          </w:p>
        </w:tc>
        <w:tc>
          <w:tcPr>
            <w:tcW w:w="1589" w:type="dxa"/>
            <w:tcBorders>
              <w:top w:val="single" w:color="auto" w:sz="4" w:space="0"/>
              <w:left w:val="single" w:color="auto" w:sz="4" w:space="0"/>
              <w:bottom w:val="single" w:color="auto" w:sz="4" w:space="0"/>
              <w:right w:val="single" w:color="auto" w:sz="4" w:space="0"/>
            </w:tcBorders>
            <w:vAlign w:val="center"/>
          </w:tcPr>
          <w:p w14:paraId="5F29949B">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69651C36">
            <w:pPr>
              <w:spacing w:line="300" w:lineRule="exact"/>
              <w:jc w:val="center"/>
              <w:rPr>
                <w:rFonts w:ascii="仿宋" w:hAnsi="仿宋" w:eastAsia="仿宋" w:cs="仿宋"/>
                <w:sz w:val="24"/>
                <w:szCs w:val="24"/>
              </w:rPr>
            </w:pPr>
            <w:r>
              <w:rPr>
                <w:rFonts w:hint="eastAsia" w:ascii="仿宋" w:hAnsi="仿宋" w:eastAsia="仿宋" w:cs="仿宋"/>
                <w:sz w:val="24"/>
                <w:szCs w:val="24"/>
              </w:rPr>
              <w:t>2023-2025</w:t>
            </w:r>
          </w:p>
        </w:tc>
      </w:tr>
      <w:tr w14:paraId="43E8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13BBFD2">
            <w:pPr>
              <w:spacing w:line="300" w:lineRule="exact"/>
              <w:jc w:val="center"/>
              <w:rPr>
                <w:rFonts w:ascii="仿宋" w:hAnsi="仿宋" w:eastAsia="仿宋" w:cs="仿宋"/>
                <w:sz w:val="24"/>
                <w:szCs w:val="24"/>
              </w:rPr>
            </w:pPr>
            <w:r>
              <w:rPr>
                <w:rFonts w:hint="eastAsia" w:ascii="仿宋" w:hAnsi="仿宋" w:eastAsia="仿宋" w:cs="仿宋"/>
                <w:sz w:val="24"/>
                <w:szCs w:val="24"/>
              </w:rPr>
              <w:t>3</w:t>
            </w:r>
          </w:p>
        </w:tc>
        <w:tc>
          <w:tcPr>
            <w:tcW w:w="0" w:type="auto"/>
            <w:tcBorders>
              <w:top w:val="single" w:color="auto" w:sz="4" w:space="0"/>
              <w:left w:val="single" w:color="auto" w:sz="4" w:space="0"/>
              <w:bottom w:val="single" w:color="auto" w:sz="4" w:space="0"/>
              <w:right w:val="single" w:color="auto" w:sz="4" w:space="0"/>
            </w:tcBorders>
            <w:vAlign w:val="center"/>
          </w:tcPr>
          <w:p w14:paraId="45D01EAC">
            <w:pPr>
              <w:spacing w:line="300" w:lineRule="exact"/>
              <w:jc w:val="center"/>
              <w:rPr>
                <w:rFonts w:ascii="仿宋" w:hAnsi="仿宋" w:eastAsia="仿宋" w:cs="仿宋"/>
                <w:sz w:val="24"/>
                <w:szCs w:val="24"/>
              </w:rPr>
            </w:pPr>
            <w:r>
              <w:rPr>
                <w:rFonts w:hint="eastAsia" w:ascii="仿宋" w:hAnsi="仿宋" w:eastAsia="仿宋" w:cs="仿宋"/>
                <w:sz w:val="24"/>
                <w:szCs w:val="24"/>
              </w:rPr>
              <w:t>北山门口村</w:t>
            </w:r>
          </w:p>
        </w:tc>
        <w:tc>
          <w:tcPr>
            <w:tcW w:w="0" w:type="auto"/>
            <w:tcBorders>
              <w:top w:val="single" w:color="auto" w:sz="4" w:space="0"/>
              <w:left w:val="single" w:color="auto" w:sz="4" w:space="0"/>
              <w:bottom w:val="single" w:color="auto" w:sz="4" w:space="0"/>
              <w:right w:val="single" w:color="auto" w:sz="4" w:space="0"/>
            </w:tcBorders>
            <w:vAlign w:val="center"/>
          </w:tcPr>
          <w:p w14:paraId="7439F618">
            <w:pPr>
              <w:spacing w:line="300" w:lineRule="exact"/>
              <w:jc w:val="center"/>
              <w:rPr>
                <w:rFonts w:ascii="仿宋" w:hAnsi="仿宋" w:eastAsia="仿宋" w:cs="仿宋"/>
                <w:sz w:val="24"/>
                <w:szCs w:val="24"/>
              </w:rPr>
            </w:pPr>
            <w:r>
              <w:rPr>
                <w:rFonts w:hint="eastAsia" w:ascii="仿宋" w:hAnsi="仿宋" w:eastAsia="仿宋" w:cs="仿宋"/>
                <w:sz w:val="24"/>
                <w:szCs w:val="24"/>
              </w:rPr>
              <w:t>1210</w:t>
            </w:r>
          </w:p>
        </w:tc>
        <w:tc>
          <w:tcPr>
            <w:tcW w:w="1653" w:type="dxa"/>
            <w:tcBorders>
              <w:top w:val="single" w:color="auto" w:sz="4" w:space="0"/>
              <w:left w:val="single" w:color="auto" w:sz="4" w:space="0"/>
              <w:bottom w:val="single" w:color="auto" w:sz="4" w:space="0"/>
              <w:right w:val="single" w:color="auto" w:sz="4" w:space="0"/>
            </w:tcBorders>
            <w:vAlign w:val="center"/>
          </w:tcPr>
          <w:p w14:paraId="48773FDF">
            <w:pPr>
              <w:spacing w:line="300" w:lineRule="exact"/>
              <w:jc w:val="center"/>
              <w:rPr>
                <w:rFonts w:ascii="仿宋" w:hAnsi="仿宋" w:eastAsia="仿宋" w:cs="仿宋"/>
                <w:sz w:val="24"/>
                <w:szCs w:val="24"/>
              </w:rPr>
            </w:pPr>
            <w:r>
              <w:rPr>
                <w:rFonts w:hint="eastAsia" w:ascii="仿宋" w:hAnsi="仿宋" w:eastAsia="仿宋" w:cs="仿宋"/>
                <w:sz w:val="24"/>
                <w:szCs w:val="24"/>
              </w:rPr>
              <w:t>171</w:t>
            </w:r>
          </w:p>
        </w:tc>
        <w:tc>
          <w:tcPr>
            <w:tcW w:w="1589" w:type="dxa"/>
            <w:tcBorders>
              <w:top w:val="single" w:color="auto" w:sz="4" w:space="0"/>
              <w:left w:val="single" w:color="auto" w:sz="4" w:space="0"/>
              <w:bottom w:val="single" w:color="auto" w:sz="4" w:space="0"/>
              <w:right w:val="single" w:color="auto" w:sz="4" w:space="0"/>
            </w:tcBorders>
            <w:vAlign w:val="center"/>
          </w:tcPr>
          <w:p w14:paraId="156A9601">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019993E1">
            <w:pPr>
              <w:spacing w:line="300" w:lineRule="exact"/>
              <w:jc w:val="center"/>
              <w:rPr>
                <w:rFonts w:ascii="仿宋" w:hAnsi="仿宋" w:eastAsia="仿宋" w:cs="仿宋"/>
                <w:sz w:val="24"/>
                <w:szCs w:val="24"/>
              </w:rPr>
            </w:pPr>
            <w:r>
              <w:rPr>
                <w:rFonts w:hint="eastAsia" w:ascii="仿宋" w:hAnsi="仿宋" w:eastAsia="仿宋" w:cs="仿宋"/>
                <w:sz w:val="24"/>
                <w:szCs w:val="24"/>
              </w:rPr>
              <w:t>2021-2023</w:t>
            </w:r>
          </w:p>
        </w:tc>
      </w:tr>
      <w:tr w14:paraId="6313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4BD4410">
            <w:pPr>
              <w:spacing w:line="300" w:lineRule="exact"/>
              <w:jc w:val="center"/>
              <w:rPr>
                <w:rFonts w:ascii="仿宋" w:hAnsi="仿宋" w:eastAsia="仿宋" w:cs="仿宋"/>
                <w:sz w:val="24"/>
                <w:szCs w:val="24"/>
              </w:rPr>
            </w:pPr>
            <w:r>
              <w:rPr>
                <w:rFonts w:hint="eastAsia" w:ascii="仿宋" w:hAnsi="仿宋" w:eastAsia="仿宋" w:cs="仿宋"/>
                <w:sz w:val="24"/>
                <w:szCs w:val="24"/>
              </w:rPr>
              <w:t>4</w:t>
            </w:r>
          </w:p>
        </w:tc>
        <w:tc>
          <w:tcPr>
            <w:tcW w:w="0" w:type="auto"/>
            <w:tcBorders>
              <w:top w:val="single" w:color="auto" w:sz="4" w:space="0"/>
              <w:left w:val="single" w:color="auto" w:sz="4" w:space="0"/>
              <w:bottom w:val="single" w:color="auto" w:sz="4" w:space="0"/>
              <w:right w:val="single" w:color="auto" w:sz="4" w:space="0"/>
            </w:tcBorders>
            <w:vAlign w:val="center"/>
          </w:tcPr>
          <w:p w14:paraId="2A167B95">
            <w:pPr>
              <w:spacing w:line="300" w:lineRule="exact"/>
              <w:jc w:val="center"/>
              <w:rPr>
                <w:rFonts w:ascii="仿宋" w:hAnsi="仿宋" w:eastAsia="仿宋" w:cs="仿宋"/>
                <w:sz w:val="24"/>
                <w:szCs w:val="24"/>
              </w:rPr>
            </w:pPr>
            <w:r>
              <w:rPr>
                <w:rFonts w:hint="eastAsia" w:ascii="仿宋" w:hAnsi="仿宋" w:eastAsia="仿宋" w:cs="仿宋"/>
                <w:sz w:val="24"/>
                <w:szCs w:val="24"/>
              </w:rPr>
              <w:t>南山门口村</w:t>
            </w:r>
          </w:p>
        </w:tc>
        <w:tc>
          <w:tcPr>
            <w:tcW w:w="0" w:type="auto"/>
            <w:tcBorders>
              <w:top w:val="single" w:color="auto" w:sz="4" w:space="0"/>
              <w:left w:val="single" w:color="auto" w:sz="4" w:space="0"/>
              <w:bottom w:val="single" w:color="auto" w:sz="4" w:space="0"/>
              <w:right w:val="single" w:color="auto" w:sz="4" w:space="0"/>
            </w:tcBorders>
            <w:vAlign w:val="center"/>
          </w:tcPr>
          <w:p w14:paraId="72E8E81B">
            <w:pPr>
              <w:spacing w:line="300" w:lineRule="exact"/>
              <w:jc w:val="center"/>
              <w:rPr>
                <w:rFonts w:ascii="仿宋" w:hAnsi="仿宋" w:eastAsia="仿宋" w:cs="仿宋"/>
                <w:sz w:val="24"/>
                <w:szCs w:val="24"/>
              </w:rPr>
            </w:pPr>
            <w:r>
              <w:rPr>
                <w:rFonts w:hint="eastAsia" w:ascii="仿宋" w:hAnsi="仿宋" w:eastAsia="仿宋" w:cs="仿宋"/>
                <w:sz w:val="24"/>
                <w:szCs w:val="24"/>
              </w:rPr>
              <w:t>506</w:t>
            </w:r>
          </w:p>
        </w:tc>
        <w:tc>
          <w:tcPr>
            <w:tcW w:w="1653" w:type="dxa"/>
            <w:tcBorders>
              <w:top w:val="single" w:color="auto" w:sz="4" w:space="0"/>
              <w:left w:val="single" w:color="auto" w:sz="4" w:space="0"/>
              <w:bottom w:val="single" w:color="auto" w:sz="4" w:space="0"/>
              <w:right w:val="single" w:color="auto" w:sz="4" w:space="0"/>
            </w:tcBorders>
            <w:vAlign w:val="center"/>
          </w:tcPr>
          <w:p w14:paraId="754E45D1">
            <w:pPr>
              <w:spacing w:line="300" w:lineRule="exact"/>
              <w:jc w:val="center"/>
              <w:rPr>
                <w:rFonts w:ascii="仿宋" w:hAnsi="仿宋" w:eastAsia="仿宋" w:cs="仿宋"/>
                <w:sz w:val="24"/>
                <w:szCs w:val="24"/>
              </w:rPr>
            </w:pPr>
            <w:r>
              <w:rPr>
                <w:rFonts w:hint="eastAsia" w:ascii="仿宋" w:hAnsi="仿宋" w:eastAsia="仿宋" w:cs="仿宋"/>
                <w:sz w:val="24"/>
                <w:szCs w:val="24"/>
              </w:rPr>
              <w:t>22</w:t>
            </w:r>
          </w:p>
        </w:tc>
        <w:tc>
          <w:tcPr>
            <w:tcW w:w="1589" w:type="dxa"/>
            <w:tcBorders>
              <w:top w:val="single" w:color="auto" w:sz="4" w:space="0"/>
              <w:left w:val="single" w:color="auto" w:sz="4" w:space="0"/>
              <w:bottom w:val="single" w:color="auto" w:sz="4" w:space="0"/>
              <w:right w:val="single" w:color="auto" w:sz="4" w:space="0"/>
            </w:tcBorders>
            <w:vAlign w:val="center"/>
          </w:tcPr>
          <w:p w14:paraId="4AA28A67">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06F0F36C">
            <w:pPr>
              <w:spacing w:line="300" w:lineRule="exact"/>
              <w:jc w:val="center"/>
              <w:rPr>
                <w:rFonts w:ascii="仿宋" w:hAnsi="仿宋" w:eastAsia="仿宋" w:cs="仿宋"/>
                <w:sz w:val="24"/>
                <w:szCs w:val="24"/>
              </w:rPr>
            </w:pPr>
            <w:r>
              <w:rPr>
                <w:rFonts w:hint="eastAsia" w:ascii="仿宋" w:hAnsi="仿宋" w:eastAsia="仿宋" w:cs="仿宋"/>
                <w:sz w:val="24"/>
                <w:szCs w:val="24"/>
              </w:rPr>
              <w:t>2021-2023</w:t>
            </w:r>
          </w:p>
        </w:tc>
      </w:tr>
      <w:tr w14:paraId="54A6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5E7DD195">
            <w:pPr>
              <w:spacing w:line="300" w:lineRule="exact"/>
              <w:jc w:val="center"/>
              <w:rPr>
                <w:rFonts w:ascii="仿宋" w:hAnsi="仿宋" w:eastAsia="仿宋" w:cs="仿宋"/>
                <w:sz w:val="24"/>
                <w:szCs w:val="24"/>
              </w:rPr>
            </w:pPr>
            <w:r>
              <w:rPr>
                <w:rFonts w:hint="eastAsia" w:ascii="仿宋" w:hAnsi="仿宋" w:eastAsia="仿宋" w:cs="仿宋"/>
                <w:sz w:val="24"/>
                <w:szCs w:val="24"/>
              </w:rPr>
              <w:t>5</w:t>
            </w:r>
          </w:p>
        </w:tc>
        <w:tc>
          <w:tcPr>
            <w:tcW w:w="0" w:type="auto"/>
            <w:tcBorders>
              <w:top w:val="single" w:color="auto" w:sz="4" w:space="0"/>
              <w:left w:val="single" w:color="auto" w:sz="4" w:space="0"/>
              <w:bottom w:val="single" w:color="auto" w:sz="4" w:space="0"/>
              <w:right w:val="single" w:color="auto" w:sz="4" w:space="0"/>
            </w:tcBorders>
            <w:vAlign w:val="center"/>
          </w:tcPr>
          <w:p w14:paraId="06FB60F9">
            <w:pPr>
              <w:spacing w:line="300" w:lineRule="exact"/>
              <w:jc w:val="center"/>
              <w:rPr>
                <w:rFonts w:ascii="仿宋" w:hAnsi="仿宋" w:eastAsia="仿宋" w:cs="仿宋"/>
                <w:sz w:val="24"/>
                <w:szCs w:val="24"/>
              </w:rPr>
            </w:pPr>
            <w:r>
              <w:rPr>
                <w:rFonts w:hint="eastAsia" w:ascii="仿宋" w:hAnsi="仿宋" w:eastAsia="仿宋" w:cs="仿宋"/>
                <w:sz w:val="24"/>
                <w:szCs w:val="24"/>
              </w:rPr>
              <w:t>西等驾坡村</w:t>
            </w:r>
          </w:p>
        </w:tc>
        <w:tc>
          <w:tcPr>
            <w:tcW w:w="0" w:type="auto"/>
            <w:tcBorders>
              <w:top w:val="single" w:color="auto" w:sz="4" w:space="0"/>
              <w:left w:val="single" w:color="auto" w:sz="4" w:space="0"/>
              <w:bottom w:val="single" w:color="auto" w:sz="4" w:space="0"/>
              <w:right w:val="single" w:color="auto" w:sz="4" w:space="0"/>
            </w:tcBorders>
            <w:vAlign w:val="center"/>
          </w:tcPr>
          <w:p w14:paraId="5E94460F">
            <w:pPr>
              <w:spacing w:line="300" w:lineRule="exact"/>
              <w:jc w:val="center"/>
              <w:rPr>
                <w:rFonts w:ascii="仿宋" w:hAnsi="仿宋" w:eastAsia="仿宋" w:cs="仿宋"/>
                <w:sz w:val="24"/>
                <w:szCs w:val="24"/>
              </w:rPr>
            </w:pPr>
            <w:r>
              <w:rPr>
                <w:rFonts w:hint="eastAsia" w:ascii="仿宋" w:hAnsi="仿宋" w:eastAsia="仿宋" w:cs="仿宋"/>
                <w:sz w:val="24"/>
                <w:szCs w:val="24"/>
              </w:rPr>
              <w:t>610</w:t>
            </w:r>
          </w:p>
        </w:tc>
        <w:tc>
          <w:tcPr>
            <w:tcW w:w="1653" w:type="dxa"/>
            <w:tcBorders>
              <w:top w:val="single" w:color="auto" w:sz="4" w:space="0"/>
              <w:left w:val="single" w:color="auto" w:sz="4" w:space="0"/>
              <w:bottom w:val="single" w:color="auto" w:sz="4" w:space="0"/>
              <w:right w:val="single" w:color="auto" w:sz="4" w:space="0"/>
            </w:tcBorders>
            <w:vAlign w:val="center"/>
          </w:tcPr>
          <w:p w14:paraId="7B421840">
            <w:pPr>
              <w:spacing w:line="300" w:lineRule="exact"/>
              <w:jc w:val="center"/>
              <w:rPr>
                <w:rFonts w:ascii="仿宋" w:hAnsi="仿宋" w:eastAsia="仿宋" w:cs="仿宋"/>
                <w:sz w:val="24"/>
                <w:szCs w:val="24"/>
              </w:rPr>
            </w:pPr>
            <w:r>
              <w:rPr>
                <w:rFonts w:hint="eastAsia" w:ascii="仿宋" w:hAnsi="仿宋" w:eastAsia="仿宋" w:cs="仿宋"/>
                <w:sz w:val="24"/>
                <w:szCs w:val="24"/>
              </w:rPr>
              <w:t>78</w:t>
            </w:r>
          </w:p>
        </w:tc>
        <w:tc>
          <w:tcPr>
            <w:tcW w:w="1589" w:type="dxa"/>
            <w:tcBorders>
              <w:top w:val="single" w:color="auto" w:sz="4" w:space="0"/>
              <w:left w:val="single" w:color="auto" w:sz="4" w:space="0"/>
              <w:bottom w:val="single" w:color="auto" w:sz="4" w:space="0"/>
              <w:right w:val="single" w:color="auto" w:sz="4" w:space="0"/>
            </w:tcBorders>
            <w:vAlign w:val="center"/>
          </w:tcPr>
          <w:p w14:paraId="23A7999B">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424ADDDF">
            <w:pPr>
              <w:spacing w:line="300" w:lineRule="exact"/>
              <w:jc w:val="center"/>
              <w:rPr>
                <w:rFonts w:ascii="仿宋" w:hAnsi="仿宋" w:eastAsia="仿宋" w:cs="仿宋"/>
                <w:sz w:val="24"/>
                <w:szCs w:val="24"/>
              </w:rPr>
            </w:pPr>
            <w:r>
              <w:rPr>
                <w:rFonts w:hint="eastAsia" w:ascii="仿宋" w:hAnsi="仿宋" w:eastAsia="仿宋" w:cs="仿宋"/>
                <w:sz w:val="24"/>
                <w:szCs w:val="24"/>
              </w:rPr>
              <w:t>2021-2023</w:t>
            </w:r>
          </w:p>
        </w:tc>
      </w:tr>
      <w:tr w14:paraId="0D38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8AFB4BE">
            <w:pPr>
              <w:spacing w:line="300" w:lineRule="exact"/>
              <w:jc w:val="center"/>
              <w:rPr>
                <w:rFonts w:ascii="仿宋" w:hAnsi="仿宋" w:eastAsia="仿宋" w:cs="仿宋"/>
                <w:sz w:val="24"/>
                <w:szCs w:val="24"/>
              </w:rPr>
            </w:pPr>
            <w:r>
              <w:rPr>
                <w:rFonts w:hint="eastAsia" w:ascii="仿宋" w:hAnsi="仿宋" w:eastAsia="仿宋" w:cs="仿宋"/>
                <w:sz w:val="24"/>
                <w:szCs w:val="24"/>
              </w:rPr>
              <w:t>6</w:t>
            </w:r>
          </w:p>
        </w:tc>
        <w:tc>
          <w:tcPr>
            <w:tcW w:w="0" w:type="auto"/>
            <w:tcBorders>
              <w:top w:val="single" w:color="auto" w:sz="4" w:space="0"/>
              <w:left w:val="single" w:color="auto" w:sz="4" w:space="0"/>
              <w:bottom w:val="single" w:color="auto" w:sz="4" w:space="0"/>
              <w:right w:val="single" w:color="auto" w:sz="4" w:space="0"/>
            </w:tcBorders>
            <w:vAlign w:val="center"/>
          </w:tcPr>
          <w:p w14:paraId="5806AF2A">
            <w:pPr>
              <w:spacing w:line="300" w:lineRule="exact"/>
              <w:jc w:val="center"/>
              <w:rPr>
                <w:rFonts w:ascii="仿宋" w:hAnsi="仿宋" w:eastAsia="仿宋" w:cs="仿宋"/>
                <w:sz w:val="24"/>
                <w:szCs w:val="24"/>
              </w:rPr>
            </w:pPr>
            <w:r>
              <w:rPr>
                <w:rFonts w:hint="eastAsia" w:ascii="仿宋" w:hAnsi="仿宋" w:eastAsia="仿宋" w:cs="仿宋"/>
                <w:sz w:val="24"/>
                <w:szCs w:val="24"/>
              </w:rPr>
              <w:t>延南村</w:t>
            </w:r>
          </w:p>
        </w:tc>
        <w:tc>
          <w:tcPr>
            <w:tcW w:w="0" w:type="auto"/>
            <w:tcBorders>
              <w:top w:val="single" w:color="auto" w:sz="4" w:space="0"/>
              <w:left w:val="single" w:color="auto" w:sz="4" w:space="0"/>
              <w:bottom w:val="single" w:color="auto" w:sz="4" w:space="0"/>
              <w:right w:val="single" w:color="auto" w:sz="4" w:space="0"/>
            </w:tcBorders>
            <w:vAlign w:val="center"/>
          </w:tcPr>
          <w:p w14:paraId="463AAA1D">
            <w:pPr>
              <w:spacing w:line="300" w:lineRule="exact"/>
              <w:jc w:val="center"/>
              <w:rPr>
                <w:rFonts w:ascii="仿宋" w:hAnsi="仿宋" w:eastAsia="仿宋" w:cs="仿宋"/>
                <w:sz w:val="24"/>
                <w:szCs w:val="24"/>
              </w:rPr>
            </w:pPr>
            <w:r>
              <w:rPr>
                <w:rFonts w:hint="eastAsia" w:ascii="仿宋" w:hAnsi="仿宋" w:eastAsia="仿宋" w:cs="仿宋"/>
                <w:sz w:val="24"/>
                <w:szCs w:val="24"/>
              </w:rPr>
              <w:t>343</w:t>
            </w:r>
          </w:p>
        </w:tc>
        <w:tc>
          <w:tcPr>
            <w:tcW w:w="1653" w:type="dxa"/>
            <w:tcBorders>
              <w:top w:val="single" w:color="auto" w:sz="4" w:space="0"/>
              <w:left w:val="single" w:color="auto" w:sz="4" w:space="0"/>
              <w:bottom w:val="single" w:color="auto" w:sz="4" w:space="0"/>
              <w:right w:val="single" w:color="auto" w:sz="4" w:space="0"/>
            </w:tcBorders>
            <w:vAlign w:val="center"/>
          </w:tcPr>
          <w:p w14:paraId="681CC76C">
            <w:pPr>
              <w:spacing w:line="300" w:lineRule="exact"/>
              <w:jc w:val="center"/>
              <w:rPr>
                <w:rFonts w:ascii="仿宋" w:hAnsi="仿宋" w:eastAsia="仿宋" w:cs="仿宋"/>
                <w:sz w:val="24"/>
                <w:szCs w:val="24"/>
              </w:rPr>
            </w:pPr>
            <w:r>
              <w:rPr>
                <w:rFonts w:hint="eastAsia" w:ascii="仿宋" w:hAnsi="仿宋" w:eastAsia="仿宋" w:cs="仿宋"/>
                <w:sz w:val="24"/>
                <w:szCs w:val="24"/>
              </w:rPr>
              <w:t>38</w:t>
            </w:r>
          </w:p>
        </w:tc>
        <w:tc>
          <w:tcPr>
            <w:tcW w:w="1589" w:type="dxa"/>
            <w:tcBorders>
              <w:top w:val="single" w:color="auto" w:sz="4" w:space="0"/>
              <w:left w:val="single" w:color="auto" w:sz="4" w:space="0"/>
              <w:bottom w:val="single" w:color="auto" w:sz="4" w:space="0"/>
              <w:right w:val="single" w:color="auto" w:sz="4" w:space="0"/>
            </w:tcBorders>
            <w:vAlign w:val="center"/>
          </w:tcPr>
          <w:p w14:paraId="6175031F">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6A4B8599">
            <w:pPr>
              <w:spacing w:line="300" w:lineRule="exact"/>
              <w:jc w:val="center"/>
              <w:rPr>
                <w:rFonts w:ascii="仿宋" w:hAnsi="仿宋" w:eastAsia="仿宋" w:cs="仿宋"/>
                <w:sz w:val="24"/>
                <w:szCs w:val="24"/>
              </w:rPr>
            </w:pPr>
            <w:r>
              <w:rPr>
                <w:rFonts w:hint="eastAsia" w:ascii="仿宋" w:hAnsi="仿宋" w:eastAsia="仿宋" w:cs="仿宋"/>
                <w:sz w:val="24"/>
                <w:szCs w:val="24"/>
              </w:rPr>
              <w:t>2023-2023</w:t>
            </w:r>
          </w:p>
        </w:tc>
      </w:tr>
      <w:tr w14:paraId="7B98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5F5B905F">
            <w:pPr>
              <w:spacing w:line="300" w:lineRule="exact"/>
              <w:jc w:val="center"/>
              <w:rPr>
                <w:rFonts w:ascii="仿宋" w:hAnsi="仿宋" w:eastAsia="仿宋" w:cs="仿宋"/>
                <w:sz w:val="24"/>
                <w:szCs w:val="24"/>
              </w:rPr>
            </w:pPr>
            <w:r>
              <w:rPr>
                <w:rFonts w:hint="eastAsia" w:ascii="仿宋" w:hAnsi="仿宋" w:eastAsia="仿宋" w:cs="仿宋"/>
                <w:sz w:val="24"/>
                <w:szCs w:val="24"/>
              </w:rPr>
              <w:t>7</w:t>
            </w:r>
          </w:p>
        </w:tc>
        <w:tc>
          <w:tcPr>
            <w:tcW w:w="0" w:type="auto"/>
            <w:tcBorders>
              <w:top w:val="single" w:color="auto" w:sz="4" w:space="0"/>
              <w:left w:val="single" w:color="auto" w:sz="4" w:space="0"/>
              <w:bottom w:val="single" w:color="auto" w:sz="4" w:space="0"/>
              <w:right w:val="single" w:color="auto" w:sz="4" w:space="0"/>
            </w:tcBorders>
            <w:vAlign w:val="center"/>
          </w:tcPr>
          <w:p w14:paraId="50798D22">
            <w:pPr>
              <w:spacing w:line="300" w:lineRule="exact"/>
              <w:jc w:val="center"/>
              <w:rPr>
                <w:rFonts w:ascii="仿宋" w:hAnsi="仿宋" w:eastAsia="仿宋" w:cs="仿宋"/>
                <w:sz w:val="24"/>
                <w:szCs w:val="24"/>
              </w:rPr>
            </w:pPr>
            <w:r>
              <w:rPr>
                <w:rFonts w:hint="eastAsia" w:ascii="仿宋" w:hAnsi="仿宋" w:eastAsia="仿宋" w:cs="仿宋"/>
                <w:sz w:val="24"/>
                <w:szCs w:val="24"/>
              </w:rPr>
              <w:t>姚家村</w:t>
            </w:r>
          </w:p>
        </w:tc>
        <w:tc>
          <w:tcPr>
            <w:tcW w:w="0" w:type="auto"/>
            <w:tcBorders>
              <w:top w:val="single" w:color="auto" w:sz="4" w:space="0"/>
              <w:left w:val="single" w:color="auto" w:sz="4" w:space="0"/>
              <w:bottom w:val="single" w:color="auto" w:sz="4" w:space="0"/>
              <w:right w:val="single" w:color="auto" w:sz="4" w:space="0"/>
            </w:tcBorders>
            <w:vAlign w:val="center"/>
          </w:tcPr>
          <w:p w14:paraId="00877AA8">
            <w:pPr>
              <w:spacing w:line="300" w:lineRule="exact"/>
              <w:jc w:val="center"/>
              <w:rPr>
                <w:rFonts w:ascii="仿宋" w:hAnsi="仿宋" w:eastAsia="仿宋" w:cs="仿宋"/>
                <w:sz w:val="24"/>
                <w:szCs w:val="24"/>
              </w:rPr>
            </w:pPr>
            <w:r>
              <w:rPr>
                <w:rFonts w:hint="eastAsia" w:ascii="仿宋" w:hAnsi="仿宋" w:eastAsia="仿宋" w:cs="仿宋"/>
                <w:sz w:val="24"/>
                <w:szCs w:val="24"/>
              </w:rPr>
              <w:t>282</w:t>
            </w:r>
          </w:p>
        </w:tc>
        <w:tc>
          <w:tcPr>
            <w:tcW w:w="1653" w:type="dxa"/>
            <w:tcBorders>
              <w:top w:val="single" w:color="auto" w:sz="4" w:space="0"/>
              <w:left w:val="single" w:color="auto" w:sz="4" w:space="0"/>
              <w:bottom w:val="single" w:color="auto" w:sz="4" w:space="0"/>
              <w:right w:val="single" w:color="auto" w:sz="4" w:space="0"/>
            </w:tcBorders>
            <w:vAlign w:val="center"/>
          </w:tcPr>
          <w:p w14:paraId="02533A74">
            <w:pPr>
              <w:spacing w:line="300" w:lineRule="exact"/>
              <w:jc w:val="center"/>
              <w:rPr>
                <w:rFonts w:ascii="仿宋" w:hAnsi="仿宋" w:eastAsia="仿宋" w:cs="仿宋"/>
                <w:sz w:val="24"/>
                <w:szCs w:val="24"/>
              </w:rPr>
            </w:pPr>
            <w:r>
              <w:rPr>
                <w:rFonts w:hint="eastAsia" w:ascii="仿宋" w:hAnsi="仿宋" w:eastAsia="仿宋" w:cs="仿宋"/>
                <w:sz w:val="24"/>
                <w:szCs w:val="24"/>
              </w:rPr>
              <w:t>30.2</w:t>
            </w:r>
          </w:p>
        </w:tc>
        <w:tc>
          <w:tcPr>
            <w:tcW w:w="1589" w:type="dxa"/>
            <w:tcBorders>
              <w:top w:val="single" w:color="auto" w:sz="4" w:space="0"/>
              <w:left w:val="single" w:color="auto" w:sz="4" w:space="0"/>
              <w:bottom w:val="single" w:color="auto" w:sz="4" w:space="0"/>
              <w:right w:val="single" w:color="auto" w:sz="4" w:space="0"/>
            </w:tcBorders>
            <w:vAlign w:val="center"/>
          </w:tcPr>
          <w:p w14:paraId="45DCFA3C">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65325DD1">
            <w:pPr>
              <w:spacing w:line="300" w:lineRule="exact"/>
              <w:jc w:val="center"/>
              <w:rPr>
                <w:rFonts w:ascii="仿宋" w:hAnsi="仿宋" w:eastAsia="仿宋" w:cs="仿宋"/>
                <w:sz w:val="24"/>
                <w:szCs w:val="24"/>
              </w:rPr>
            </w:pPr>
            <w:r>
              <w:rPr>
                <w:rFonts w:hint="eastAsia" w:ascii="仿宋" w:hAnsi="仿宋" w:eastAsia="仿宋" w:cs="仿宋"/>
                <w:sz w:val="24"/>
                <w:szCs w:val="24"/>
              </w:rPr>
              <w:t>2021-2023</w:t>
            </w:r>
          </w:p>
        </w:tc>
      </w:tr>
      <w:tr w14:paraId="2DDA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066BE23">
            <w:pPr>
              <w:spacing w:line="300" w:lineRule="exact"/>
              <w:jc w:val="center"/>
              <w:rPr>
                <w:rFonts w:ascii="仿宋" w:hAnsi="仿宋" w:eastAsia="仿宋" w:cs="仿宋"/>
                <w:sz w:val="24"/>
                <w:szCs w:val="24"/>
              </w:rPr>
            </w:pPr>
            <w:r>
              <w:rPr>
                <w:rFonts w:hint="eastAsia" w:ascii="仿宋" w:hAnsi="仿宋" w:eastAsia="仿宋" w:cs="仿宋"/>
                <w:sz w:val="24"/>
                <w:szCs w:val="24"/>
              </w:rPr>
              <w:t>8</w:t>
            </w:r>
          </w:p>
        </w:tc>
        <w:tc>
          <w:tcPr>
            <w:tcW w:w="0" w:type="auto"/>
            <w:tcBorders>
              <w:top w:val="single" w:color="auto" w:sz="4" w:space="0"/>
              <w:left w:val="single" w:color="auto" w:sz="4" w:space="0"/>
              <w:bottom w:val="single" w:color="auto" w:sz="4" w:space="0"/>
              <w:right w:val="single" w:color="auto" w:sz="4" w:space="0"/>
            </w:tcBorders>
            <w:vAlign w:val="center"/>
          </w:tcPr>
          <w:p w14:paraId="73573E2D">
            <w:pPr>
              <w:spacing w:line="300" w:lineRule="exact"/>
              <w:jc w:val="center"/>
              <w:rPr>
                <w:rFonts w:ascii="仿宋" w:hAnsi="仿宋" w:eastAsia="仿宋" w:cs="仿宋"/>
                <w:sz w:val="24"/>
                <w:szCs w:val="24"/>
              </w:rPr>
            </w:pPr>
            <w:r>
              <w:rPr>
                <w:rFonts w:hint="eastAsia" w:ascii="仿宋" w:hAnsi="仿宋" w:eastAsia="仿宋" w:cs="仿宋"/>
                <w:sz w:val="24"/>
                <w:szCs w:val="24"/>
              </w:rPr>
              <w:t>闵旗寨</w:t>
            </w:r>
          </w:p>
        </w:tc>
        <w:tc>
          <w:tcPr>
            <w:tcW w:w="0" w:type="auto"/>
            <w:tcBorders>
              <w:top w:val="single" w:color="auto" w:sz="4" w:space="0"/>
              <w:left w:val="single" w:color="auto" w:sz="4" w:space="0"/>
              <w:bottom w:val="single" w:color="auto" w:sz="4" w:space="0"/>
              <w:right w:val="single" w:color="auto" w:sz="4" w:space="0"/>
            </w:tcBorders>
            <w:vAlign w:val="center"/>
          </w:tcPr>
          <w:p w14:paraId="29AC42D9">
            <w:pPr>
              <w:spacing w:line="300" w:lineRule="exact"/>
              <w:jc w:val="center"/>
              <w:rPr>
                <w:rFonts w:ascii="仿宋" w:hAnsi="仿宋" w:eastAsia="仿宋" w:cs="仿宋"/>
                <w:sz w:val="24"/>
                <w:szCs w:val="24"/>
              </w:rPr>
            </w:pPr>
            <w:r>
              <w:rPr>
                <w:rFonts w:hint="eastAsia" w:ascii="仿宋" w:hAnsi="仿宋" w:eastAsia="仿宋" w:cs="仿宋"/>
                <w:sz w:val="24"/>
                <w:szCs w:val="24"/>
              </w:rPr>
              <w:t>157</w:t>
            </w:r>
          </w:p>
        </w:tc>
        <w:tc>
          <w:tcPr>
            <w:tcW w:w="1653" w:type="dxa"/>
            <w:tcBorders>
              <w:top w:val="single" w:color="auto" w:sz="4" w:space="0"/>
              <w:left w:val="single" w:color="auto" w:sz="4" w:space="0"/>
              <w:bottom w:val="single" w:color="auto" w:sz="4" w:space="0"/>
              <w:right w:val="single" w:color="auto" w:sz="4" w:space="0"/>
            </w:tcBorders>
            <w:vAlign w:val="center"/>
          </w:tcPr>
          <w:p w14:paraId="4166954F">
            <w:pPr>
              <w:spacing w:line="300" w:lineRule="exact"/>
              <w:jc w:val="center"/>
              <w:rPr>
                <w:rFonts w:ascii="仿宋" w:hAnsi="仿宋" w:eastAsia="仿宋" w:cs="仿宋"/>
                <w:sz w:val="24"/>
                <w:szCs w:val="24"/>
              </w:rPr>
            </w:pPr>
            <w:r>
              <w:rPr>
                <w:rFonts w:hint="eastAsia" w:ascii="仿宋" w:hAnsi="仿宋" w:eastAsia="仿宋" w:cs="仿宋"/>
                <w:sz w:val="24"/>
                <w:szCs w:val="24"/>
              </w:rPr>
              <w:t>30.4</w:t>
            </w:r>
          </w:p>
        </w:tc>
        <w:tc>
          <w:tcPr>
            <w:tcW w:w="1589" w:type="dxa"/>
            <w:tcBorders>
              <w:top w:val="single" w:color="auto" w:sz="4" w:space="0"/>
              <w:left w:val="single" w:color="auto" w:sz="4" w:space="0"/>
              <w:bottom w:val="single" w:color="auto" w:sz="4" w:space="0"/>
              <w:right w:val="single" w:color="auto" w:sz="4" w:space="0"/>
            </w:tcBorders>
            <w:vAlign w:val="center"/>
          </w:tcPr>
          <w:p w14:paraId="6691B091">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1B48A3CE">
            <w:pPr>
              <w:spacing w:line="300" w:lineRule="exact"/>
              <w:jc w:val="center"/>
              <w:rPr>
                <w:rFonts w:ascii="仿宋" w:hAnsi="仿宋" w:eastAsia="仿宋" w:cs="仿宋"/>
                <w:sz w:val="24"/>
                <w:szCs w:val="24"/>
              </w:rPr>
            </w:pPr>
            <w:r>
              <w:rPr>
                <w:rFonts w:hint="eastAsia" w:ascii="仿宋" w:hAnsi="仿宋" w:eastAsia="仿宋" w:cs="仿宋"/>
                <w:sz w:val="24"/>
                <w:szCs w:val="24"/>
              </w:rPr>
              <w:t>2021-2023</w:t>
            </w:r>
          </w:p>
        </w:tc>
      </w:tr>
      <w:tr w14:paraId="6DC4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520A6824">
            <w:pPr>
              <w:spacing w:line="300" w:lineRule="exact"/>
              <w:jc w:val="center"/>
              <w:rPr>
                <w:rFonts w:ascii="仿宋" w:hAnsi="仿宋" w:eastAsia="仿宋" w:cs="仿宋"/>
                <w:sz w:val="24"/>
                <w:szCs w:val="24"/>
              </w:rPr>
            </w:pPr>
            <w:r>
              <w:rPr>
                <w:rFonts w:hint="eastAsia" w:ascii="仿宋" w:hAnsi="仿宋" w:eastAsia="仿宋" w:cs="仿宋"/>
                <w:sz w:val="24"/>
                <w:szCs w:val="24"/>
              </w:rPr>
              <w:t>9</w:t>
            </w:r>
          </w:p>
        </w:tc>
        <w:tc>
          <w:tcPr>
            <w:tcW w:w="0" w:type="auto"/>
            <w:tcBorders>
              <w:top w:val="single" w:color="auto" w:sz="4" w:space="0"/>
              <w:left w:val="single" w:color="auto" w:sz="4" w:space="0"/>
              <w:bottom w:val="single" w:color="auto" w:sz="4" w:space="0"/>
              <w:right w:val="single" w:color="auto" w:sz="4" w:space="0"/>
            </w:tcBorders>
            <w:vAlign w:val="center"/>
          </w:tcPr>
          <w:p w14:paraId="565953AB">
            <w:pPr>
              <w:spacing w:line="300" w:lineRule="exact"/>
              <w:jc w:val="center"/>
              <w:rPr>
                <w:rFonts w:ascii="仿宋" w:hAnsi="仿宋" w:eastAsia="仿宋" w:cs="仿宋"/>
                <w:sz w:val="24"/>
                <w:szCs w:val="24"/>
              </w:rPr>
            </w:pPr>
            <w:r>
              <w:rPr>
                <w:rFonts w:hint="eastAsia" w:ascii="仿宋" w:hAnsi="仿宋" w:eastAsia="仿宋" w:cs="仿宋"/>
                <w:sz w:val="24"/>
                <w:szCs w:val="24"/>
              </w:rPr>
              <w:t>罗家寨</w:t>
            </w:r>
          </w:p>
        </w:tc>
        <w:tc>
          <w:tcPr>
            <w:tcW w:w="0" w:type="auto"/>
            <w:tcBorders>
              <w:top w:val="single" w:color="auto" w:sz="4" w:space="0"/>
              <w:left w:val="single" w:color="auto" w:sz="4" w:space="0"/>
              <w:bottom w:val="single" w:color="auto" w:sz="4" w:space="0"/>
              <w:right w:val="single" w:color="auto" w:sz="4" w:space="0"/>
            </w:tcBorders>
            <w:vAlign w:val="center"/>
          </w:tcPr>
          <w:p w14:paraId="69BE69A8">
            <w:pPr>
              <w:spacing w:line="300" w:lineRule="exact"/>
              <w:jc w:val="center"/>
              <w:rPr>
                <w:rFonts w:ascii="仿宋" w:hAnsi="仿宋" w:eastAsia="仿宋" w:cs="仿宋"/>
                <w:sz w:val="24"/>
                <w:szCs w:val="24"/>
              </w:rPr>
            </w:pPr>
            <w:r>
              <w:rPr>
                <w:rFonts w:hint="eastAsia" w:ascii="仿宋" w:hAnsi="仿宋" w:eastAsia="仿宋" w:cs="仿宋"/>
                <w:sz w:val="24"/>
                <w:szCs w:val="24"/>
              </w:rPr>
              <w:t>411</w:t>
            </w:r>
          </w:p>
        </w:tc>
        <w:tc>
          <w:tcPr>
            <w:tcW w:w="1653" w:type="dxa"/>
            <w:tcBorders>
              <w:top w:val="single" w:color="auto" w:sz="4" w:space="0"/>
              <w:left w:val="single" w:color="auto" w:sz="4" w:space="0"/>
              <w:bottom w:val="single" w:color="auto" w:sz="4" w:space="0"/>
              <w:right w:val="single" w:color="auto" w:sz="4" w:space="0"/>
            </w:tcBorders>
            <w:vAlign w:val="center"/>
          </w:tcPr>
          <w:p w14:paraId="51B44110">
            <w:pPr>
              <w:spacing w:line="300" w:lineRule="exact"/>
              <w:jc w:val="center"/>
              <w:rPr>
                <w:rFonts w:ascii="仿宋" w:hAnsi="仿宋" w:eastAsia="仿宋" w:cs="仿宋"/>
                <w:sz w:val="24"/>
                <w:szCs w:val="24"/>
              </w:rPr>
            </w:pPr>
            <w:r>
              <w:rPr>
                <w:rFonts w:hint="eastAsia" w:ascii="仿宋" w:hAnsi="仿宋" w:eastAsia="仿宋" w:cs="仿宋"/>
                <w:sz w:val="24"/>
                <w:szCs w:val="24"/>
              </w:rPr>
              <w:t>29.9</w:t>
            </w:r>
          </w:p>
        </w:tc>
        <w:tc>
          <w:tcPr>
            <w:tcW w:w="1589" w:type="dxa"/>
            <w:tcBorders>
              <w:top w:val="single" w:color="auto" w:sz="4" w:space="0"/>
              <w:left w:val="single" w:color="auto" w:sz="4" w:space="0"/>
              <w:bottom w:val="single" w:color="auto" w:sz="4" w:space="0"/>
              <w:right w:val="single" w:color="auto" w:sz="4" w:space="0"/>
            </w:tcBorders>
            <w:vAlign w:val="center"/>
          </w:tcPr>
          <w:p w14:paraId="2BA046AC">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1BE53080">
            <w:pPr>
              <w:spacing w:line="300" w:lineRule="exact"/>
              <w:jc w:val="center"/>
              <w:rPr>
                <w:rFonts w:ascii="仿宋" w:hAnsi="仿宋" w:eastAsia="仿宋" w:cs="仿宋"/>
                <w:sz w:val="24"/>
                <w:szCs w:val="24"/>
              </w:rPr>
            </w:pPr>
            <w:r>
              <w:rPr>
                <w:rFonts w:hint="eastAsia" w:ascii="仿宋" w:hAnsi="仿宋" w:eastAsia="仿宋" w:cs="仿宋"/>
                <w:sz w:val="24"/>
                <w:szCs w:val="24"/>
              </w:rPr>
              <w:t>2023-2025</w:t>
            </w:r>
          </w:p>
        </w:tc>
      </w:tr>
      <w:tr w14:paraId="3B79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3C419EE">
            <w:pPr>
              <w:spacing w:line="300" w:lineRule="exact"/>
              <w:jc w:val="center"/>
              <w:rPr>
                <w:rFonts w:ascii="仿宋" w:hAnsi="仿宋" w:eastAsia="仿宋" w:cs="仿宋"/>
                <w:sz w:val="24"/>
                <w:szCs w:val="24"/>
              </w:rPr>
            </w:pPr>
            <w:r>
              <w:rPr>
                <w:rFonts w:hint="eastAsia" w:ascii="仿宋" w:hAnsi="仿宋" w:eastAsia="仿宋" w:cs="仿宋"/>
                <w:sz w:val="24"/>
                <w:szCs w:val="24"/>
              </w:rPr>
              <w:t>10</w:t>
            </w:r>
          </w:p>
        </w:tc>
        <w:tc>
          <w:tcPr>
            <w:tcW w:w="0" w:type="auto"/>
            <w:tcBorders>
              <w:top w:val="single" w:color="auto" w:sz="4" w:space="0"/>
              <w:left w:val="single" w:color="auto" w:sz="4" w:space="0"/>
              <w:bottom w:val="single" w:color="auto" w:sz="4" w:space="0"/>
              <w:right w:val="single" w:color="auto" w:sz="4" w:space="0"/>
            </w:tcBorders>
            <w:vAlign w:val="center"/>
          </w:tcPr>
          <w:p w14:paraId="58603531">
            <w:pPr>
              <w:spacing w:line="300" w:lineRule="exact"/>
              <w:jc w:val="center"/>
              <w:rPr>
                <w:rFonts w:ascii="仿宋" w:hAnsi="仿宋" w:eastAsia="仿宋" w:cs="仿宋"/>
                <w:sz w:val="24"/>
                <w:szCs w:val="24"/>
              </w:rPr>
            </w:pPr>
            <w:r>
              <w:rPr>
                <w:rFonts w:hint="eastAsia" w:ascii="仿宋" w:hAnsi="仿宋" w:eastAsia="仿宋" w:cs="仿宋"/>
                <w:sz w:val="24"/>
                <w:szCs w:val="24"/>
              </w:rPr>
              <w:t>潘家庄</w:t>
            </w:r>
          </w:p>
        </w:tc>
        <w:tc>
          <w:tcPr>
            <w:tcW w:w="0" w:type="auto"/>
            <w:tcBorders>
              <w:top w:val="single" w:color="auto" w:sz="4" w:space="0"/>
              <w:left w:val="single" w:color="auto" w:sz="4" w:space="0"/>
              <w:bottom w:val="single" w:color="auto" w:sz="4" w:space="0"/>
              <w:right w:val="single" w:color="auto" w:sz="4" w:space="0"/>
            </w:tcBorders>
            <w:vAlign w:val="center"/>
          </w:tcPr>
          <w:p w14:paraId="7EEFEEE4">
            <w:pPr>
              <w:spacing w:line="300" w:lineRule="exact"/>
              <w:jc w:val="center"/>
              <w:rPr>
                <w:rFonts w:ascii="仿宋" w:hAnsi="仿宋" w:eastAsia="仿宋" w:cs="仿宋"/>
                <w:sz w:val="24"/>
                <w:szCs w:val="24"/>
              </w:rPr>
            </w:pPr>
            <w:r>
              <w:rPr>
                <w:rFonts w:hint="eastAsia" w:ascii="仿宋" w:hAnsi="仿宋" w:eastAsia="仿宋" w:cs="仿宋"/>
                <w:sz w:val="24"/>
                <w:szCs w:val="24"/>
              </w:rPr>
              <w:t>480</w:t>
            </w:r>
          </w:p>
        </w:tc>
        <w:tc>
          <w:tcPr>
            <w:tcW w:w="1653" w:type="dxa"/>
            <w:tcBorders>
              <w:top w:val="single" w:color="auto" w:sz="4" w:space="0"/>
              <w:left w:val="single" w:color="auto" w:sz="4" w:space="0"/>
              <w:bottom w:val="single" w:color="auto" w:sz="4" w:space="0"/>
              <w:right w:val="single" w:color="auto" w:sz="4" w:space="0"/>
            </w:tcBorders>
            <w:vAlign w:val="center"/>
          </w:tcPr>
          <w:p w14:paraId="241E8C29">
            <w:pPr>
              <w:spacing w:line="300" w:lineRule="exact"/>
              <w:jc w:val="center"/>
              <w:rPr>
                <w:rFonts w:ascii="仿宋" w:hAnsi="仿宋" w:eastAsia="仿宋" w:cs="仿宋"/>
                <w:sz w:val="24"/>
                <w:szCs w:val="24"/>
              </w:rPr>
            </w:pPr>
            <w:r>
              <w:rPr>
                <w:rFonts w:hint="eastAsia" w:ascii="仿宋" w:hAnsi="仿宋" w:eastAsia="仿宋" w:cs="仿宋"/>
                <w:sz w:val="24"/>
                <w:szCs w:val="24"/>
              </w:rPr>
              <w:t>56.7</w:t>
            </w:r>
          </w:p>
        </w:tc>
        <w:tc>
          <w:tcPr>
            <w:tcW w:w="1589" w:type="dxa"/>
            <w:tcBorders>
              <w:top w:val="single" w:color="auto" w:sz="4" w:space="0"/>
              <w:left w:val="single" w:color="auto" w:sz="4" w:space="0"/>
              <w:bottom w:val="single" w:color="auto" w:sz="4" w:space="0"/>
              <w:right w:val="single" w:color="auto" w:sz="4" w:space="0"/>
            </w:tcBorders>
            <w:vAlign w:val="center"/>
          </w:tcPr>
          <w:p w14:paraId="7497BC7B">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01778095">
            <w:pPr>
              <w:spacing w:line="300" w:lineRule="exact"/>
              <w:jc w:val="center"/>
              <w:rPr>
                <w:rFonts w:ascii="仿宋" w:hAnsi="仿宋" w:eastAsia="仿宋" w:cs="仿宋"/>
                <w:sz w:val="24"/>
                <w:szCs w:val="24"/>
              </w:rPr>
            </w:pPr>
            <w:r>
              <w:rPr>
                <w:rFonts w:hint="eastAsia" w:ascii="仿宋" w:hAnsi="仿宋" w:eastAsia="仿宋" w:cs="仿宋"/>
                <w:sz w:val="24"/>
                <w:szCs w:val="24"/>
              </w:rPr>
              <w:t>2023-2025</w:t>
            </w:r>
          </w:p>
        </w:tc>
      </w:tr>
      <w:tr w14:paraId="7101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22BFBD7">
            <w:pPr>
              <w:spacing w:line="300" w:lineRule="exact"/>
              <w:jc w:val="center"/>
              <w:rPr>
                <w:rFonts w:ascii="仿宋" w:hAnsi="仿宋" w:eastAsia="仿宋" w:cs="仿宋"/>
                <w:sz w:val="24"/>
                <w:szCs w:val="24"/>
              </w:rPr>
            </w:pPr>
            <w:r>
              <w:rPr>
                <w:rFonts w:hint="eastAsia" w:ascii="仿宋" w:hAnsi="仿宋" w:eastAsia="仿宋" w:cs="仿宋"/>
                <w:sz w:val="24"/>
                <w:szCs w:val="24"/>
              </w:rPr>
              <w:t>11</w:t>
            </w:r>
          </w:p>
        </w:tc>
        <w:tc>
          <w:tcPr>
            <w:tcW w:w="0" w:type="auto"/>
            <w:tcBorders>
              <w:top w:val="single" w:color="auto" w:sz="4" w:space="0"/>
              <w:left w:val="single" w:color="auto" w:sz="4" w:space="0"/>
              <w:bottom w:val="single" w:color="auto" w:sz="4" w:space="0"/>
              <w:right w:val="single" w:color="auto" w:sz="4" w:space="0"/>
            </w:tcBorders>
            <w:vAlign w:val="center"/>
          </w:tcPr>
          <w:p w14:paraId="42A7ECA8">
            <w:pPr>
              <w:spacing w:line="300" w:lineRule="exact"/>
              <w:jc w:val="center"/>
              <w:rPr>
                <w:rFonts w:ascii="仿宋" w:hAnsi="仿宋" w:eastAsia="仿宋" w:cs="仿宋"/>
                <w:sz w:val="24"/>
                <w:szCs w:val="24"/>
              </w:rPr>
            </w:pPr>
            <w:r>
              <w:rPr>
                <w:rFonts w:hint="eastAsia" w:ascii="仿宋" w:hAnsi="仿宋" w:eastAsia="仿宋" w:cs="仿宋"/>
                <w:sz w:val="24"/>
                <w:szCs w:val="24"/>
              </w:rPr>
              <w:t>沙滹坨村</w:t>
            </w:r>
          </w:p>
        </w:tc>
        <w:tc>
          <w:tcPr>
            <w:tcW w:w="0" w:type="auto"/>
            <w:tcBorders>
              <w:top w:val="single" w:color="auto" w:sz="4" w:space="0"/>
              <w:left w:val="single" w:color="auto" w:sz="4" w:space="0"/>
              <w:bottom w:val="single" w:color="auto" w:sz="4" w:space="0"/>
              <w:right w:val="single" w:color="auto" w:sz="4" w:space="0"/>
            </w:tcBorders>
            <w:vAlign w:val="center"/>
          </w:tcPr>
          <w:p w14:paraId="6DFAF380">
            <w:pPr>
              <w:spacing w:line="300" w:lineRule="exact"/>
              <w:jc w:val="center"/>
              <w:rPr>
                <w:rFonts w:ascii="仿宋" w:hAnsi="仿宋" w:eastAsia="仿宋" w:cs="仿宋"/>
                <w:sz w:val="24"/>
                <w:szCs w:val="24"/>
              </w:rPr>
            </w:pPr>
            <w:r>
              <w:rPr>
                <w:rFonts w:hint="eastAsia" w:ascii="仿宋" w:hAnsi="仿宋" w:eastAsia="仿宋" w:cs="仿宋"/>
                <w:sz w:val="24"/>
                <w:szCs w:val="24"/>
              </w:rPr>
              <w:t>739</w:t>
            </w:r>
          </w:p>
        </w:tc>
        <w:tc>
          <w:tcPr>
            <w:tcW w:w="1653" w:type="dxa"/>
            <w:tcBorders>
              <w:top w:val="single" w:color="auto" w:sz="4" w:space="0"/>
              <w:left w:val="single" w:color="auto" w:sz="4" w:space="0"/>
              <w:bottom w:val="single" w:color="auto" w:sz="4" w:space="0"/>
              <w:right w:val="single" w:color="auto" w:sz="4" w:space="0"/>
            </w:tcBorders>
            <w:vAlign w:val="center"/>
          </w:tcPr>
          <w:p w14:paraId="05AADA7C">
            <w:pPr>
              <w:spacing w:line="300" w:lineRule="exact"/>
              <w:jc w:val="center"/>
              <w:rPr>
                <w:rFonts w:ascii="仿宋" w:hAnsi="仿宋" w:eastAsia="仿宋" w:cs="仿宋"/>
                <w:sz w:val="24"/>
                <w:szCs w:val="24"/>
              </w:rPr>
            </w:pPr>
            <w:r>
              <w:rPr>
                <w:rFonts w:hint="eastAsia" w:ascii="仿宋" w:hAnsi="仿宋" w:eastAsia="仿宋" w:cs="仿宋"/>
                <w:sz w:val="24"/>
                <w:szCs w:val="24"/>
              </w:rPr>
              <w:t>71.1</w:t>
            </w:r>
          </w:p>
        </w:tc>
        <w:tc>
          <w:tcPr>
            <w:tcW w:w="1589" w:type="dxa"/>
            <w:tcBorders>
              <w:top w:val="single" w:color="auto" w:sz="4" w:space="0"/>
              <w:left w:val="single" w:color="auto" w:sz="4" w:space="0"/>
              <w:bottom w:val="single" w:color="auto" w:sz="4" w:space="0"/>
              <w:right w:val="single" w:color="auto" w:sz="4" w:space="0"/>
            </w:tcBorders>
            <w:vAlign w:val="center"/>
          </w:tcPr>
          <w:p w14:paraId="6846C983">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529229BB">
            <w:pPr>
              <w:spacing w:line="300" w:lineRule="exact"/>
              <w:jc w:val="center"/>
              <w:rPr>
                <w:rFonts w:ascii="仿宋" w:hAnsi="仿宋" w:eastAsia="仿宋" w:cs="仿宋"/>
                <w:sz w:val="24"/>
                <w:szCs w:val="24"/>
              </w:rPr>
            </w:pPr>
            <w:r>
              <w:rPr>
                <w:rFonts w:hint="eastAsia" w:ascii="仿宋" w:hAnsi="仿宋" w:eastAsia="仿宋" w:cs="仿宋"/>
                <w:sz w:val="24"/>
                <w:szCs w:val="24"/>
              </w:rPr>
              <w:t>2021-2023</w:t>
            </w:r>
          </w:p>
        </w:tc>
      </w:tr>
      <w:tr w14:paraId="53AC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8B6EF3C">
            <w:pPr>
              <w:spacing w:line="300" w:lineRule="exact"/>
              <w:jc w:val="center"/>
              <w:rPr>
                <w:rFonts w:ascii="仿宋" w:hAnsi="仿宋" w:eastAsia="仿宋" w:cs="仿宋"/>
                <w:sz w:val="24"/>
                <w:szCs w:val="24"/>
              </w:rPr>
            </w:pPr>
            <w:r>
              <w:rPr>
                <w:rFonts w:hint="eastAsia" w:ascii="仿宋" w:hAnsi="仿宋" w:eastAsia="仿宋" w:cs="仿宋"/>
                <w:sz w:val="24"/>
                <w:szCs w:val="24"/>
              </w:rPr>
              <w:t>12</w:t>
            </w:r>
          </w:p>
        </w:tc>
        <w:tc>
          <w:tcPr>
            <w:tcW w:w="0" w:type="auto"/>
            <w:tcBorders>
              <w:top w:val="single" w:color="auto" w:sz="4" w:space="0"/>
              <w:left w:val="single" w:color="auto" w:sz="4" w:space="0"/>
              <w:bottom w:val="single" w:color="auto" w:sz="4" w:space="0"/>
              <w:right w:val="single" w:color="auto" w:sz="4" w:space="0"/>
            </w:tcBorders>
            <w:vAlign w:val="center"/>
          </w:tcPr>
          <w:p w14:paraId="314581DF">
            <w:pPr>
              <w:spacing w:line="300" w:lineRule="exact"/>
              <w:jc w:val="center"/>
              <w:rPr>
                <w:rFonts w:ascii="仿宋" w:hAnsi="仿宋" w:eastAsia="仿宋" w:cs="仿宋"/>
                <w:sz w:val="24"/>
                <w:szCs w:val="24"/>
              </w:rPr>
            </w:pPr>
            <w:r>
              <w:rPr>
                <w:rFonts w:hint="eastAsia" w:ascii="仿宋" w:hAnsi="仿宋" w:eastAsia="仿宋" w:cs="仿宋"/>
                <w:sz w:val="24"/>
                <w:szCs w:val="24"/>
              </w:rPr>
              <w:t>吉祥村</w:t>
            </w:r>
          </w:p>
        </w:tc>
        <w:tc>
          <w:tcPr>
            <w:tcW w:w="0" w:type="auto"/>
            <w:tcBorders>
              <w:top w:val="single" w:color="auto" w:sz="4" w:space="0"/>
              <w:left w:val="single" w:color="auto" w:sz="4" w:space="0"/>
              <w:bottom w:val="single" w:color="auto" w:sz="4" w:space="0"/>
              <w:right w:val="single" w:color="auto" w:sz="4" w:space="0"/>
            </w:tcBorders>
            <w:vAlign w:val="center"/>
          </w:tcPr>
          <w:p w14:paraId="199B87BD">
            <w:pPr>
              <w:spacing w:line="300" w:lineRule="exact"/>
              <w:jc w:val="center"/>
              <w:rPr>
                <w:rFonts w:ascii="仿宋" w:hAnsi="仿宋" w:eastAsia="仿宋" w:cs="仿宋"/>
                <w:sz w:val="24"/>
                <w:szCs w:val="24"/>
              </w:rPr>
            </w:pPr>
            <w:r>
              <w:rPr>
                <w:rFonts w:hint="eastAsia" w:ascii="仿宋" w:hAnsi="仿宋" w:eastAsia="仿宋" w:cs="仿宋"/>
                <w:sz w:val="24"/>
                <w:szCs w:val="24"/>
              </w:rPr>
              <w:t>1467</w:t>
            </w:r>
          </w:p>
        </w:tc>
        <w:tc>
          <w:tcPr>
            <w:tcW w:w="1653" w:type="dxa"/>
            <w:tcBorders>
              <w:top w:val="single" w:color="auto" w:sz="4" w:space="0"/>
              <w:left w:val="single" w:color="auto" w:sz="4" w:space="0"/>
              <w:bottom w:val="single" w:color="auto" w:sz="4" w:space="0"/>
              <w:right w:val="single" w:color="auto" w:sz="4" w:space="0"/>
            </w:tcBorders>
            <w:vAlign w:val="center"/>
          </w:tcPr>
          <w:p w14:paraId="5AC4576B">
            <w:pPr>
              <w:spacing w:line="300" w:lineRule="exact"/>
              <w:jc w:val="center"/>
              <w:rPr>
                <w:rFonts w:ascii="仿宋" w:hAnsi="仿宋" w:eastAsia="仿宋" w:cs="仿宋"/>
                <w:sz w:val="24"/>
                <w:szCs w:val="24"/>
              </w:rPr>
            </w:pPr>
            <w:r>
              <w:rPr>
                <w:rFonts w:hint="eastAsia" w:ascii="仿宋" w:hAnsi="仿宋" w:eastAsia="仿宋" w:cs="仿宋"/>
                <w:sz w:val="24"/>
                <w:szCs w:val="24"/>
              </w:rPr>
              <w:t>34.2</w:t>
            </w:r>
          </w:p>
        </w:tc>
        <w:tc>
          <w:tcPr>
            <w:tcW w:w="1589" w:type="dxa"/>
            <w:tcBorders>
              <w:top w:val="single" w:color="auto" w:sz="4" w:space="0"/>
              <w:left w:val="single" w:color="auto" w:sz="4" w:space="0"/>
              <w:bottom w:val="single" w:color="auto" w:sz="4" w:space="0"/>
              <w:right w:val="single" w:color="auto" w:sz="4" w:space="0"/>
            </w:tcBorders>
            <w:vAlign w:val="center"/>
          </w:tcPr>
          <w:p w14:paraId="1C98FE49">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212FACD1">
            <w:pPr>
              <w:spacing w:line="300" w:lineRule="exact"/>
              <w:jc w:val="center"/>
              <w:rPr>
                <w:rFonts w:ascii="仿宋" w:hAnsi="仿宋" w:eastAsia="仿宋" w:cs="仿宋"/>
                <w:sz w:val="24"/>
                <w:szCs w:val="24"/>
              </w:rPr>
            </w:pPr>
            <w:r>
              <w:rPr>
                <w:rFonts w:hint="eastAsia" w:ascii="仿宋" w:hAnsi="仿宋" w:eastAsia="仿宋" w:cs="仿宋"/>
                <w:sz w:val="24"/>
                <w:szCs w:val="24"/>
              </w:rPr>
              <w:t>2023-2025</w:t>
            </w:r>
          </w:p>
        </w:tc>
      </w:tr>
      <w:tr w14:paraId="7E30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52D9BEE">
            <w:pPr>
              <w:spacing w:line="300" w:lineRule="exact"/>
              <w:jc w:val="center"/>
              <w:rPr>
                <w:rFonts w:ascii="仿宋" w:hAnsi="仿宋" w:eastAsia="仿宋" w:cs="仿宋"/>
                <w:sz w:val="24"/>
                <w:szCs w:val="24"/>
              </w:rPr>
            </w:pPr>
            <w:r>
              <w:rPr>
                <w:rFonts w:hint="eastAsia" w:ascii="仿宋" w:hAnsi="仿宋" w:eastAsia="仿宋" w:cs="仿宋"/>
                <w:sz w:val="24"/>
                <w:szCs w:val="24"/>
              </w:rPr>
              <w:t>13</w:t>
            </w:r>
          </w:p>
        </w:tc>
        <w:tc>
          <w:tcPr>
            <w:tcW w:w="0" w:type="auto"/>
            <w:tcBorders>
              <w:top w:val="single" w:color="auto" w:sz="4" w:space="0"/>
              <w:left w:val="single" w:color="auto" w:sz="4" w:space="0"/>
              <w:bottom w:val="single" w:color="auto" w:sz="4" w:space="0"/>
              <w:right w:val="single" w:color="auto" w:sz="4" w:space="0"/>
            </w:tcBorders>
            <w:vAlign w:val="center"/>
          </w:tcPr>
          <w:p w14:paraId="12BDF90F">
            <w:pPr>
              <w:spacing w:line="300" w:lineRule="exact"/>
              <w:jc w:val="center"/>
              <w:rPr>
                <w:rFonts w:ascii="仿宋" w:hAnsi="仿宋" w:eastAsia="仿宋" w:cs="仿宋"/>
                <w:sz w:val="24"/>
                <w:szCs w:val="24"/>
              </w:rPr>
            </w:pPr>
            <w:r>
              <w:rPr>
                <w:rFonts w:hint="eastAsia" w:ascii="仿宋" w:hAnsi="仿宋" w:eastAsia="仿宋" w:cs="仿宋"/>
                <w:sz w:val="24"/>
                <w:szCs w:val="24"/>
              </w:rPr>
              <w:t>郝家村</w:t>
            </w:r>
          </w:p>
        </w:tc>
        <w:tc>
          <w:tcPr>
            <w:tcW w:w="0" w:type="auto"/>
            <w:tcBorders>
              <w:top w:val="single" w:color="auto" w:sz="4" w:space="0"/>
              <w:left w:val="single" w:color="auto" w:sz="4" w:space="0"/>
              <w:bottom w:val="single" w:color="auto" w:sz="4" w:space="0"/>
              <w:right w:val="single" w:color="auto" w:sz="4" w:space="0"/>
            </w:tcBorders>
            <w:vAlign w:val="center"/>
          </w:tcPr>
          <w:p w14:paraId="2F2CBB45">
            <w:pPr>
              <w:spacing w:line="300" w:lineRule="exact"/>
              <w:jc w:val="center"/>
              <w:rPr>
                <w:rFonts w:ascii="仿宋" w:hAnsi="仿宋" w:eastAsia="仿宋" w:cs="仿宋"/>
                <w:sz w:val="24"/>
                <w:szCs w:val="24"/>
              </w:rPr>
            </w:pPr>
            <w:r>
              <w:rPr>
                <w:rFonts w:hint="eastAsia" w:ascii="仿宋" w:hAnsi="仿宋" w:eastAsia="仿宋" w:cs="仿宋"/>
                <w:sz w:val="24"/>
                <w:szCs w:val="24"/>
              </w:rPr>
              <w:t>448</w:t>
            </w:r>
          </w:p>
        </w:tc>
        <w:tc>
          <w:tcPr>
            <w:tcW w:w="1653" w:type="dxa"/>
            <w:tcBorders>
              <w:top w:val="single" w:color="auto" w:sz="4" w:space="0"/>
              <w:left w:val="single" w:color="auto" w:sz="4" w:space="0"/>
              <w:bottom w:val="single" w:color="auto" w:sz="4" w:space="0"/>
              <w:right w:val="single" w:color="auto" w:sz="4" w:space="0"/>
            </w:tcBorders>
            <w:vAlign w:val="center"/>
          </w:tcPr>
          <w:p w14:paraId="451AB367">
            <w:pPr>
              <w:spacing w:line="300" w:lineRule="exact"/>
              <w:jc w:val="center"/>
              <w:rPr>
                <w:rFonts w:ascii="仿宋" w:hAnsi="仿宋" w:eastAsia="仿宋" w:cs="仿宋"/>
                <w:sz w:val="24"/>
                <w:szCs w:val="24"/>
              </w:rPr>
            </w:pPr>
            <w:r>
              <w:rPr>
                <w:rFonts w:hint="eastAsia" w:ascii="仿宋" w:hAnsi="仿宋" w:eastAsia="仿宋" w:cs="仿宋"/>
                <w:sz w:val="24"/>
                <w:szCs w:val="24"/>
              </w:rPr>
              <w:t>27.2</w:t>
            </w:r>
          </w:p>
        </w:tc>
        <w:tc>
          <w:tcPr>
            <w:tcW w:w="1589" w:type="dxa"/>
            <w:tcBorders>
              <w:top w:val="single" w:color="auto" w:sz="4" w:space="0"/>
              <w:left w:val="single" w:color="auto" w:sz="4" w:space="0"/>
              <w:bottom w:val="single" w:color="auto" w:sz="4" w:space="0"/>
              <w:right w:val="single" w:color="auto" w:sz="4" w:space="0"/>
            </w:tcBorders>
            <w:vAlign w:val="center"/>
          </w:tcPr>
          <w:p w14:paraId="299284F0">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31476597">
            <w:pPr>
              <w:spacing w:line="300" w:lineRule="exact"/>
              <w:jc w:val="center"/>
              <w:rPr>
                <w:rFonts w:ascii="仿宋" w:hAnsi="仿宋" w:eastAsia="仿宋" w:cs="仿宋"/>
                <w:sz w:val="24"/>
                <w:szCs w:val="24"/>
              </w:rPr>
            </w:pPr>
            <w:r>
              <w:rPr>
                <w:rFonts w:hint="eastAsia" w:ascii="仿宋" w:hAnsi="仿宋" w:eastAsia="仿宋" w:cs="仿宋"/>
                <w:sz w:val="24"/>
                <w:szCs w:val="24"/>
              </w:rPr>
              <w:t>2023-2025</w:t>
            </w:r>
          </w:p>
        </w:tc>
      </w:tr>
      <w:tr w14:paraId="2BB0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4A8C0D4">
            <w:pPr>
              <w:spacing w:line="300" w:lineRule="exact"/>
              <w:jc w:val="center"/>
              <w:rPr>
                <w:rFonts w:ascii="仿宋" w:hAnsi="仿宋" w:eastAsia="仿宋" w:cs="仿宋"/>
                <w:sz w:val="24"/>
                <w:szCs w:val="24"/>
              </w:rPr>
            </w:pPr>
            <w:r>
              <w:rPr>
                <w:rFonts w:hint="eastAsia" w:ascii="仿宋" w:hAnsi="仿宋" w:eastAsia="仿宋" w:cs="仿宋"/>
                <w:sz w:val="24"/>
                <w:szCs w:val="24"/>
              </w:rPr>
              <w:t>14</w:t>
            </w:r>
          </w:p>
        </w:tc>
        <w:tc>
          <w:tcPr>
            <w:tcW w:w="0" w:type="auto"/>
            <w:tcBorders>
              <w:top w:val="single" w:color="auto" w:sz="4" w:space="0"/>
              <w:left w:val="single" w:color="auto" w:sz="4" w:space="0"/>
              <w:bottom w:val="single" w:color="auto" w:sz="4" w:space="0"/>
              <w:right w:val="single" w:color="auto" w:sz="4" w:space="0"/>
            </w:tcBorders>
            <w:vAlign w:val="center"/>
          </w:tcPr>
          <w:p w14:paraId="3A6D1F7B">
            <w:pPr>
              <w:spacing w:line="300" w:lineRule="exact"/>
              <w:jc w:val="center"/>
              <w:rPr>
                <w:rFonts w:ascii="仿宋" w:hAnsi="仿宋" w:eastAsia="仿宋" w:cs="仿宋"/>
                <w:sz w:val="24"/>
                <w:szCs w:val="24"/>
              </w:rPr>
            </w:pPr>
            <w:r>
              <w:rPr>
                <w:rFonts w:hint="eastAsia" w:ascii="仿宋" w:hAnsi="仿宋" w:eastAsia="仿宋" w:cs="仿宋"/>
                <w:sz w:val="24"/>
                <w:szCs w:val="24"/>
              </w:rPr>
              <w:t>西八里村</w:t>
            </w:r>
          </w:p>
        </w:tc>
        <w:tc>
          <w:tcPr>
            <w:tcW w:w="0" w:type="auto"/>
            <w:tcBorders>
              <w:top w:val="single" w:color="auto" w:sz="4" w:space="0"/>
              <w:left w:val="single" w:color="auto" w:sz="4" w:space="0"/>
              <w:bottom w:val="single" w:color="auto" w:sz="4" w:space="0"/>
              <w:right w:val="single" w:color="auto" w:sz="4" w:space="0"/>
            </w:tcBorders>
            <w:vAlign w:val="center"/>
          </w:tcPr>
          <w:p w14:paraId="35E8A6F5">
            <w:pPr>
              <w:spacing w:line="300" w:lineRule="exact"/>
              <w:jc w:val="center"/>
              <w:rPr>
                <w:rFonts w:ascii="仿宋" w:hAnsi="仿宋" w:eastAsia="仿宋" w:cs="仿宋"/>
                <w:sz w:val="24"/>
                <w:szCs w:val="24"/>
              </w:rPr>
            </w:pPr>
            <w:r>
              <w:rPr>
                <w:rFonts w:hint="eastAsia" w:ascii="仿宋" w:hAnsi="仿宋" w:eastAsia="仿宋" w:cs="仿宋"/>
                <w:sz w:val="24"/>
                <w:szCs w:val="24"/>
              </w:rPr>
              <w:t>600</w:t>
            </w:r>
          </w:p>
        </w:tc>
        <w:tc>
          <w:tcPr>
            <w:tcW w:w="1653" w:type="dxa"/>
            <w:tcBorders>
              <w:top w:val="single" w:color="auto" w:sz="4" w:space="0"/>
              <w:left w:val="single" w:color="auto" w:sz="4" w:space="0"/>
              <w:bottom w:val="single" w:color="auto" w:sz="4" w:space="0"/>
              <w:right w:val="single" w:color="auto" w:sz="4" w:space="0"/>
            </w:tcBorders>
            <w:vAlign w:val="center"/>
          </w:tcPr>
          <w:p w14:paraId="14DA6032">
            <w:pPr>
              <w:spacing w:line="300" w:lineRule="exact"/>
              <w:jc w:val="center"/>
              <w:rPr>
                <w:rFonts w:ascii="仿宋" w:hAnsi="仿宋" w:eastAsia="仿宋" w:cs="仿宋"/>
                <w:sz w:val="24"/>
                <w:szCs w:val="24"/>
              </w:rPr>
            </w:pPr>
            <w:r>
              <w:rPr>
                <w:rFonts w:hint="eastAsia" w:ascii="仿宋" w:hAnsi="仿宋" w:eastAsia="仿宋" w:cs="仿宋"/>
                <w:sz w:val="24"/>
                <w:szCs w:val="24"/>
              </w:rPr>
              <w:t>22.4</w:t>
            </w:r>
          </w:p>
        </w:tc>
        <w:tc>
          <w:tcPr>
            <w:tcW w:w="1589" w:type="dxa"/>
            <w:tcBorders>
              <w:top w:val="single" w:color="auto" w:sz="4" w:space="0"/>
              <w:left w:val="single" w:color="auto" w:sz="4" w:space="0"/>
              <w:bottom w:val="single" w:color="auto" w:sz="4" w:space="0"/>
              <w:right w:val="single" w:color="auto" w:sz="4" w:space="0"/>
            </w:tcBorders>
            <w:vAlign w:val="center"/>
          </w:tcPr>
          <w:p w14:paraId="628718EE">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5C4500E2">
            <w:pPr>
              <w:spacing w:line="300" w:lineRule="exact"/>
              <w:jc w:val="center"/>
              <w:rPr>
                <w:rFonts w:ascii="仿宋" w:hAnsi="仿宋" w:eastAsia="仿宋" w:cs="仿宋"/>
                <w:sz w:val="24"/>
                <w:szCs w:val="24"/>
              </w:rPr>
            </w:pPr>
            <w:r>
              <w:rPr>
                <w:rFonts w:hint="eastAsia" w:ascii="仿宋" w:hAnsi="仿宋" w:eastAsia="仿宋" w:cs="仿宋"/>
                <w:sz w:val="24"/>
                <w:szCs w:val="24"/>
              </w:rPr>
              <w:t>2023-2025</w:t>
            </w:r>
          </w:p>
        </w:tc>
      </w:tr>
      <w:tr w14:paraId="7EAB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1973DF12">
            <w:pPr>
              <w:spacing w:line="300" w:lineRule="exact"/>
              <w:jc w:val="center"/>
              <w:rPr>
                <w:rFonts w:ascii="仿宋" w:hAnsi="仿宋" w:eastAsia="仿宋" w:cs="仿宋"/>
                <w:sz w:val="24"/>
                <w:szCs w:val="24"/>
              </w:rPr>
            </w:pPr>
            <w:r>
              <w:rPr>
                <w:rFonts w:hint="eastAsia" w:ascii="仿宋" w:hAnsi="仿宋" w:eastAsia="仿宋" w:cs="仿宋"/>
                <w:sz w:val="24"/>
                <w:szCs w:val="24"/>
              </w:rPr>
              <w:t>15</w:t>
            </w:r>
          </w:p>
        </w:tc>
        <w:tc>
          <w:tcPr>
            <w:tcW w:w="0" w:type="auto"/>
            <w:tcBorders>
              <w:top w:val="single" w:color="auto" w:sz="4" w:space="0"/>
              <w:left w:val="single" w:color="auto" w:sz="4" w:space="0"/>
              <w:bottom w:val="single" w:color="auto" w:sz="4" w:space="0"/>
              <w:right w:val="single" w:color="auto" w:sz="4" w:space="0"/>
            </w:tcBorders>
            <w:vAlign w:val="center"/>
          </w:tcPr>
          <w:p w14:paraId="01617288">
            <w:pPr>
              <w:spacing w:line="300" w:lineRule="exact"/>
              <w:jc w:val="center"/>
              <w:rPr>
                <w:rFonts w:ascii="仿宋" w:hAnsi="仿宋" w:eastAsia="仿宋" w:cs="仿宋"/>
                <w:sz w:val="24"/>
                <w:szCs w:val="24"/>
              </w:rPr>
            </w:pPr>
            <w:r>
              <w:rPr>
                <w:rFonts w:hint="eastAsia" w:ascii="仿宋" w:hAnsi="仿宋" w:eastAsia="仿宋" w:cs="仿宋"/>
                <w:sz w:val="24"/>
                <w:szCs w:val="24"/>
              </w:rPr>
              <w:t>二府庄村</w:t>
            </w:r>
          </w:p>
        </w:tc>
        <w:tc>
          <w:tcPr>
            <w:tcW w:w="0" w:type="auto"/>
            <w:tcBorders>
              <w:top w:val="single" w:color="auto" w:sz="4" w:space="0"/>
              <w:left w:val="single" w:color="auto" w:sz="4" w:space="0"/>
              <w:bottom w:val="single" w:color="auto" w:sz="4" w:space="0"/>
              <w:right w:val="single" w:color="auto" w:sz="4" w:space="0"/>
            </w:tcBorders>
            <w:vAlign w:val="center"/>
          </w:tcPr>
          <w:p w14:paraId="69926A02">
            <w:pPr>
              <w:spacing w:line="300" w:lineRule="exact"/>
              <w:jc w:val="center"/>
              <w:rPr>
                <w:rFonts w:ascii="仿宋" w:hAnsi="仿宋" w:eastAsia="仿宋" w:cs="仿宋"/>
                <w:sz w:val="24"/>
                <w:szCs w:val="24"/>
              </w:rPr>
            </w:pPr>
            <w:r>
              <w:rPr>
                <w:rFonts w:hint="eastAsia" w:ascii="仿宋" w:hAnsi="仿宋" w:eastAsia="仿宋" w:cs="仿宋"/>
                <w:sz w:val="24"/>
                <w:szCs w:val="24"/>
              </w:rPr>
              <w:t>328</w:t>
            </w:r>
          </w:p>
        </w:tc>
        <w:tc>
          <w:tcPr>
            <w:tcW w:w="1653" w:type="dxa"/>
            <w:tcBorders>
              <w:top w:val="single" w:color="auto" w:sz="4" w:space="0"/>
              <w:left w:val="single" w:color="auto" w:sz="4" w:space="0"/>
              <w:bottom w:val="single" w:color="auto" w:sz="4" w:space="0"/>
              <w:right w:val="single" w:color="auto" w:sz="4" w:space="0"/>
            </w:tcBorders>
            <w:vAlign w:val="center"/>
          </w:tcPr>
          <w:p w14:paraId="059594A5">
            <w:pPr>
              <w:spacing w:line="300" w:lineRule="exact"/>
              <w:jc w:val="center"/>
              <w:rPr>
                <w:rFonts w:ascii="仿宋" w:hAnsi="仿宋" w:eastAsia="仿宋" w:cs="仿宋"/>
                <w:sz w:val="24"/>
                <w:szCs w:val="24"/>
              </w:rPr>
            </w:pPr>
            <w:r>
              <w:rPr>
                <w:rFonts w:hint="eastAsia" w:ascii="仿宋" w:hAnsi="仿宋" w:eastAsia="仿宋" w:cs="仿宋"/>
                <w:sz w:val="24"/>
                <w:szCs w:val="24"/>
              </w:rPr>
              <w:t>48.7</w:t>
            </w:r>
          </w:p>
        </w:tc>
        <w:tc>
          <w:tcPr>
            <w:tcW w:w="1589" w:type="dxa"/>
            <w:tcBorders>
              <w:top w:val="single" w:color="auto" w:sz="4" w:space="0"/>
              <w:left w:val="single" w:color="auto" w:sz="4" w:space="0"/>
              <w:bottom w:val="single" w:color="auto" w:sz="4" w:space="0"/>
              <w:right w:val="single" w:color="auto" w:sz="4" w:space="0"/>
            </w:tcBorders>
            <w:vAlign w:val="center"/>
          </w:tcPr>
          <w:p w14:paraId="4C738E93">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5D2E0DC0">
            <w:pPr>
              <w:spacing w:line="300" w:lineRule="exact"/>
              <w:jc w:val="center"/>
              <w:rPr>
                <w:rFonts w:ascii="仿宋" w:hAnsi="仿宋" w:eastAsia="仿宋" w:cs="仿宋"/>
                <w:sz w:val="24"/>
                <w:szCs w:val="24"/>
              </w:rPr>
            </w:pPr>
            <w:r>
              <w:rPr>
                <w:rFonts w:hint="eastAsia" w:ascii="仿宋" w:hAnsi="仿宋" w:eastAsia="仿宋" w:cs="仿宋"/>
                <w:sz w:val="24"/>
                <w:szCs w:val="24"/>
              </w:rPr>
              <w:t>2021-2023</w:t>
            </w:r>
          </w:p>
        </w:tc>
      </w:tr>
      <w:tr w14:paraId="4545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07C6634">
            <w:pPr>
              <w:spacing w:line="300" w:lineRule="exact"/>
              <w:jc w:val="center"/>
              <w:rPr>
                <w:rFonts w:ascii="仿宋" w:hAnsi="仿宋" w:eastAsia="仿宋" w:cs="仿宋"/>
                <w:sz w:val="24"/>
                <w:szCs w:val="24"/>
              </w:rPr>
            </w:pPr>
            <w:r>
              <w:rPr>
                <w:rFonts w:hint="eastAsia" w:ascii="仿宋" w:hAnsi="仿宋" w:eastAsia="仿宋" w:cs="仿宋"/>
                <w:sz w:val="24"/>
                <w:szCs w:val="24"/>
              </w:rPr>
              <w:t>16</w:t>
            </w:r>
          </w:p>
        </w:tc>
        <w:tc>
          <w:tcPr>
            <w:tcW w:w="0" w:type="auto"/>
            <w:tcBorders>
              <w:top w:val="single" w:color="auto" w:sz="4" w:space="0"/>
              <w:left w:val="single" w:color="auto" w:sz="4" w:space="0"/>
              <w:bottom w:val="single" w:color="auto" w:sz="4" w:space="0"/>
              <w:right w:val="single" w:color="auto" w:sz="4" w:space="0"/>
            </w:tcBorders>
            <w:vAlign w:val="center"/>
          </w:tcPr>
          <w:p w14:paraId="31D84576">
            <w:pPr>
              <w:spacing w:line="300" w:lineRule="exact"/>
              <w:jc w:val="center"/>
              <w:rPr>
                <w:rFonts w:ascii="仿宋" w:hAnsi="仿宋" w:eastAsia="仿宋" w:cs="仿宋"/>
                <w:sz w:val="24"/>
                <w:szCs w:val="24"/>
              </w:rPr>
            </w:pPr>
            <w:r>
              <w:rPr>
                <w:rFonts w:hint="eastAsia" w:ascii="仿宋" w:hAnsi="仿宋" w:eastAsia="仿宋" w:cs="仿宋"/>
                <w:sz w:val="24"/>
                <w:szCs w:val="24"/>
              </w:rPr>
              <w:t>东小寨-钟元厂</w:t>
            </w:r>
          </w:p>
        </w:tc>
        <w:tc>
          <w:tcPr>
            <w:tcW w:w="0" w:type="auto"/>
            <w:tcBorders>
              <w:top w:val="single" w:color="auto" w:sz="4" w:space="0"/>
              <w:left w:val="single" w:color="auto" w:sz="4" w:space="0"/>
              <w:bottom w:val="single" w:color="auto" w:sz="4" w:space="0"/>
              <w:right w:val="single" w:color="auto" w:sz="4" w:space="0"/>
            </w:tcBorders>
            <w:vAlign w:val="center"/>
          </w:tcPr>
          <w:p w14:paraId="61D63231">
            <w:pPr>
              <w:spacing w:line="300" w:lineRule="exact"/>
              <w:jc w:val="center"/>
              <w:rPr>
                <w:rFonts w:ascii="仿宋" w:hAnsi="仿宋" w:eastAsia="仿宋" w:cs="仿宋"/>
                <w:sz w:val="24"/>
                <w:szCs w:val="24"/>
              </w:rPr>
            </w:pPr>
            <w:r>
              <w:rPr>
                <w:rFonts w:hint="eastAsia" w:ascii="仿宋" w:hAnsi="仿宋" w:eastAsia="仿宋" w:cs="仿宋"/>
                <w:sz w:val="24"/>
                <w:szCs w:val="24"/>
              </w:rPr>
              <w:t>1459</w:t>
            </w:r>
          </w:p>
        </w:tc>
        <w:tc>
          <w:tcPr>
            <w:tcW w:w="1653" w:type="dxa"/>
            <w:tcBorders>
              <w:top w:val="single" w:color="auto" w:sz="4" w:space="0"/>
              <w:left w:val="single" w:color="auto" w:sz="4" w:space="0"/>
              <w:bottom w:val="single" w:color="auto" w:sz="4" w:space="0"/>
              <w:right w:val="single" w:color="auto" w:sz="4" w:space="0"/>
            </w:tcBorders>
            <w:vAlign w:val="center"/>
          </w:tcPr>
          <w:p w14:paraId="6621EEFB">
            <w:pPr>
              <w:spacing w:line="300" w:lineRule="exact"/>
              <w:jc w:val="center"/>
              <w:rPr>
                <w:rFonts w:ascii="仿宋" w:hAnsi="仿宋" w:eastAsia="仿宋" w:cs="仿宋"/>
                <w:sz w:val="24"/>
                <w:szCs w:val="24"/>
              </w:rPr>
            </w:pPr>
            <w:r>
              <w:rPr>
                <w:rFonts w:hint="eastAsia" w:ascii="仿宋" w:hAnsi="仿宋" w:eastAsia="仿宋" w:cs="仿宋"/>
                <w:sz w:val="24"/>
                <w:szCs w:val="24"/>
              </w:rPr>
              <w:t>16.8</w:t>
            </w:r>
          </w:p>
        </w:tc>
        <w:tc>
          <w:tcPr>
            <w:tcW w:w="1589" w:type="dxa"/>
            <w:tcBorders>
              <w:top w:val="single" w:color="auto" w:sz="4" w:space="0"/>
              <w:left w:val="single" w:color="auto" w:sz="4" w:space="0"/>
              <w:bottom w:val="single" w:color="auto" w:sz="4" w:space="0"/>
              <w:right w:val="single" w:color="auto" w:sz="4" w:space="0"/>
            </w:tcBorders>
            <w:vAlign w:val="center"/>
          </w:tcPr>
          <w:p w14:paraId="368569FF">
            <w:pPr>
              <w:spacing w:line="300" w:lineRule="exact"/>
              <w:jc w:val="center"/>
              <w:rPr>
                <w:rFonts w:ascii="仿宋" w:hAnsi="仿宋" w:eastAsia="仿宋" w:cs="仿宋"/>
                <w:sz w:val="24"/>
                <w:szCs w:val="24"/>
              </w:rPr>
            </w:pPr>
            <w:r>
              <w:rPr>
                <w:rFonts w:hint="eastAsia" w:ascii="仿宋" w:hAnsi="仿宋" w:eastAsia="仿宋" w:cs="仿宋"/>
                <w:sz w:val="24"/>
                <w:szCs w:val="24"/>
              </w:rPr>
              <w:t>集中安置</w:t>
            </w:r>
          </w:p>
        </w:tc>
        <w:tc>
          <w:tcPr>
            <w:tcW w:w="0" w:type="auto"/>
            <w:tcBorders>
              <w:top w:val="single" w:color="auto" w:sz="4" w:space="0"/>
              <w:left w:val="single" w:color="auto" w:sz="4" w:space="0"/>
              <w:bottom w:val="single" w:color="auto" w:sz="4" w:space="0"/>
              <w:right w:val="single" w:color="auto" w:sz="4" w:space="0"/>
            </w:tcBorders>
            <w:vAlign w:val="center"/>
          </w:tcPr>
          <w:p w14:paraId="585E52BC">
            <w:pPr>
              <w:spacing w:line="300" w:lineRule="exact"/>
              <w:jc w:val="center"/>
              <w:rPr>
                <w:rFonts w:ascii="仿宋" w:hAnsi="仿宋" w:eastAsia="仿宋" w:cs="仿宋"/>
                <w:sz w:val="24"/>
                <w:szCs w:val="24"/>
              </w:rPr>
            </w:pPr>
            <w:r>
              <w:rPr>
                <w:rFonts w:hint="eastAsia" w:ascii="仿宋" w:hAnsi="仿宋" w:eastAsia="仿宋" w:cs="仿宋"/>
                <w:sz w:val="24"/>
                <w:szCs w:val="24"/>
              </w:rPr>
              <w:t>2020-2023</w:t>
            </w:r>
          </w:p>
        </w:tc>
      </w:tr>
    </w:tbl>
    <w:p w14:paraId="19F0ED86">
      <w:pPr>
        <w:pStyle w:val="26"/>
        <w:spacing w:line="560" w:lineRule="exact"/>
        <w:ind w:firstLine="0"/>
        <w:jc w:val="both"/>
      </w:pPr>
    </w:p>
    <w:p w14:paraId="34E958B4">
      <w:pPr>
        <w:adjustRightInd w:val="0"/>
        <w:snapToGrid w:val="0"/>
        <w:ind w:firstLine="643" w:firstLineChars="200"/>
        <w:jc w:val="left"/>
        <w:rPr>
          <w:rFonts w:ascii="仿宋" w:hAnsi="仿宋" w:eastAsia="仿宋" w:cs="仿宋"/>
          <w:b/>
          <w:sz w:val="32"/>
          <w:szCs w:val="32"/>
        </w:rPr>
      </w:pPr>
      <w:r>
        <w:rPr>
          <w:rFonts w:hint="eastAsia" w:ascii="仿宋" w:hAnsi="仿宋" w:eastAsia="仿宋" w:cs="仿宋"/>
          <w:b/>
          <w:sz w:val="32"/>
          <w:szCs w:val="32"/>
        </w:rPr>
        <w:t>四、扎实推进绿色生态发展区建设</w:t>
      </w:r>
    </w:p>
    <w:p w14:paraId="43D3EC1A">
      <w:pPr>
        <w:adjustRightInd w:val="0"/>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1、推进“15 分钟便民休闲圈”建设</w:t>
      </w:r>
    </w:p>
    <w:p w14:paraId="2913891E">
      <w:pPr>
        <w:adjustRightInd w:val="0"/>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加快绿地广场和口袋公园建设，实施标准化管理，力争“十四五”期间建成面积不少于 3 万平方米（150 个）的街头绿地广场（口袋公园），形成级配合理、类型丰富、功能多样的街头绿地体系。构建城区绿道系统，围绕西安市“两山、八水、五环、十廊”的绿道体系结构，5 年内建设绿道 20 公里以上，有机串联城市公园绿地、文化遗址、商业圈等空间。高标准推进城市道路绿化建设，加快城市林荫路系统构建。提升道路绿化景观品质，5 年内提升 10 条以上。</w:t>
      </w:r>
    </w:p>
    <w:p w14:paraId="2EBE5278">
      <w:pPr>
        <w:numPr>
          <w:ilvl w:val="0"/>
          <w:numId w:val="1"/>
        </w:numPr>
        <w:adjustRightInd w:val="0"/>
        <w:snapToGrid w:val="0"/>
        <w:ind w:firstLine="640"/>
        <w:jc w:val="left"/>
        <w:rPr>
          <w:rFonts w:ascii="仿宋" w:hAnsi="仿宋" w:eastAsia="仿宋" w:cs="仿宋"/>
          <w:sz w:val="32"/>
          <w:szCs w:val="32"/>
        </w:rPr>
      </w:pPr>
      <w:r>
        <w:rPr>
          <w:rFonts w:hint="eastAsia" w:ascii="仿宋" w:hAnsi="仿宋" w:eastAsia="仿宋" w:cs="仿宋"/>
          <w:sz w:val="32"/>
          <w:szCs w:val="32"/>
        </w:rPr>
        <w:t>提升城市绿色公共空间品质</w:t>
      </w:r>
    </w:p>
    <w:p w14:paraId="4379B591">
      <w:pPr>
        <w:adjustRightInd w:val="0"/>
        <w:snapToGrid w:val="0"/>
        <w:ind w:firstLine="640" w:firstLineChars="200"/>
        <w:jc w:val="left"/>
        <w:rPr>
          <w:rFonts w:ascii="仿宋" w:hAnsi="仿宋" w:eastAsia="仿宋" w:cs="仿宋"/>
          <w:kern w:val="0"/>
          <w:sz w:val="32"/>
          <w:szCs w:val="32"/>
        </w:rPr>
      </w:pPr>
      <w:r>
        <w:rPr>
          <w:rFonts w:hint="eastAsia" w:ascii="仿宋" w:hAnsi="仿宋" w:eastAsia="仿宋" w:cs="仿宋"/>
          <w:sz w:val="32"/>
          <w:szCs w:val="32"/>
        </w:rPr>
        <w:t>进一步提升园林绿地建设水平，建设一批体现地域性、文化性和时代性的精品公园绿地，加快城市中心区、老区及品质低下的公园绿地的改造提升，发挥绿地的综合效益。推进省、市级园林式单位、居住区创建，加强城市园林绿化建设，扎实开展生态园林系列创建活动，新建一批布局合理、绿量充足、景观优美、特色突出、管理规范的园林式单位和居住区，努力实现人均公园绿地面积达到 20 平方米。</w:t>
      </w:r>
    </w:p>
    <w:p w14:paraId="2300CBBB">
      <w:pPr>
        <w:adjustRightInd w:val="0"/>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3、优化城市道路绿化建设</w:t>
      </w:r>
    </w:p>
    <w:p w14:paraId="4DA8D3B6">
      <w:pPr>
        <w:pStyle w:val="26"/>
        <w:adjustRightInd w:val="0"/>
        <w:snapToGrid w:val="0"/>
        <w:spacing w:after="0"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优化城市道路绿化建设，大力实施重点道路、重要节点、背街小巷、单位庭院等绿化美化行动，沿街布置花墙，栽植常绿阔叶树种，丰富绿化层次，打造“一路一景”。开展区级、社区级绿道建设，使之有机串联城市公园绿地、文化遗址、商业圈等空间，构建城区绿道系统。</w:t>
      </w:r>
    </w:p>
    <w:p w14:paraId="3DA2009E">
      <w:pPr>
        <w:pStyle w:val="26"/>
        <w:adjustRightInd w:val="0"/>
        <w:snapToGrid w:val="0"/>
        <w:spacing w:after="0"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2025年底前，</w:t>
      </w:r>
      <w:r>
        <w:rPr>
          <w:rFonts w:hint="eastAsia" w:ascii="仿宋" w:hAnsi="仿宋" w:eastAsia="仿宋" w:cs="仿宋"/>
          <w:sz w:val="32"/>
          <w:szCs w:val="32"/>
        </w:rPr>
        <w:t>建成城市公园1座；绿地广场、口袋公园5个。新建绿道长度不小于4千米。新增城市绿地面积不少于20万平方米。城区栽植乔木不少于1万株。完成不少于0.48万平方米的屋顶绿化和不少于1200延米的垂直绿化。</w:t>
      </w:r>
    </w:p>
    <w:p w14:paraId="243A2D93">
      <w:pPr>
        <w:adjustRightInd w:val="0"/>
        <w:snapToGrid w:val="0"/>
        <w:ind w:firstLine="640" w:firstLineChars="200"/>
        <w:jc w:val="left"/>
        <w:rPr>
          <w:rFonts w:ascii="仿宋" w:hAnsi="仿宋" w:eastAsia="仿宋" w:cs="仿宋"/>
          <w:sz w:val="32"/>
          <w:szCs w:val="32"/>
        </w:rPr>
      </w:pPr>
      <w:r>
        <w:rPr>
          <w:rFonts w:hint="eastAsia" w:ascii="仿宋" w:hAnsi="仿宋" w:eastAsia="仿宋" w:cs="仿宋"/>
          <w:sz w:val="32"/>
          <w:szCs w:val="32"/>
        </w:rPr>
        <w:t>4、推进城市立体绿化建设</w:t>
      </w:r>
    </w:p>
    <w:p w14:paraId="2AAC8471">
      <w:pPr>
        <w:pStyle w:val="26"/>
        <w:adjustRightInd w:val="0"/>
        <w:snapToGrid w:val="0"/>
        <w:spacing w:after="0"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高标准推进城市立体绿化建设，在城市功能疏解、更新和调整中，将腾退空间优先用于留白增绿。</w:t>
      </w:r>
    </w:p>
    <w:p w14:paraId="003086F0">
      <w:pPr>
        <w:pStyle w:val="26"/>
        <w:adjustRightInd w:val="0"/>
        <w:snapToGrid w:val="0"/>
        <w:spacing w:after="0"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对辖区内城市广场，重要道路高架桥、立交桥、人行天桥、建筑立面、护栏，及其沿街视线可及范围内的公共设施外部实施绿化美化。推进具备条件的建筑实施屋顶绿化，将全区平面绿化和空间立体绿化相结合，使城市绿化的整体景观多元和协调，营造抬头能见绿的绿色生态环境。</w:t>
      </w:r>
    </w:p>
    <w:p w14:paraId="754680CA">
      <w:pPr>
        <w:pStyle w:val="4"/>
        <w:adjustRightInd w:val="0"/>
        <w:snapToGrid w:val="0"/>
        <w:spacing w:line="560" w:lineRule="exact"/>
        <w:ind w:firstLine="0" w:firstLineChars="0"/>
        <w:jc w:val="center"/>
        <w:rPr>
          <w:rFonts w:ascii="仿宋" w:hAnsi="仿宋" w:cs="仿宋"/>
          <w:bCs w:val="0"/>
          <w:sz w:val="32"/>
        </w:rPr>
      </w:pPr>
      <w:bookmarkStart w:id="165" w:name="_Toc101253367"/>
      <w:r>
        <w:rPr>
          <w:rFonts w:hint="eastAsia" w:ascii="仿宋" w:hAnsi="仿宋" w:cs="仿宋"/>
          <w:bCs w:val="0"/>
          <w:sz w:val="32"/>
        </w:rPr>
        <w:t xml:space="preserve">第二节  </w:t>
      </w:r>
      <w:r>
        <w:rPr>
          <w:rFonts w:hint="eastAsia" w:ascii="仿宋" w:hAnsi="仿宋" w:cs="仿宋"/>
          <w:sz w:val="32"/>
        </w:rPr>
        <w:t>推</w:t>
      </w:r>
      <w:r>
        <w:rPr>
          <w:sz w:val="32"/>
        </w:rPr>
        <w:t>动</w:t>
      </w:r>
      <w:r>
        <w:rPr>
          <w:rFonts w:hint="eastAsia"/>
          <w:sz w:val="32"/>
        </w:rPr>
        <w:t>产业循环</w:t>
      </w:r>
      <w:r>
        <w:rPr>
          <w:sz w:val="32"/>
        </w:rPr>
        <w:t>发展</w:t>
      </w:r>
      <w:r>
        <w:rPr>
          <w:rFonts w:hint="eastAsia"/>
          <w:sz w:val="32"/>
        </w:rPr>
        <w:t>，提高能源清洁化水平</w:t>
      </w:r>
      <w:bookmarkEnd w:id="165"/>
    </w:p>
    <w:p w14:paraId="21DCFB42">
      <w:pPr>
        <w:adjustRightInd w:val="0"/>
        <w:snapToGrid w:val="0"/>
        <w:ind w:firstLine="643" w:firstLineChars="200"/>
        <w:rPr>
          <w:rFonts w:ascii="仿宋" w:hAnsi="仿宋" w:eastAsia="仿宋" w:cs="仿宋"/>
          <w:b/>
          <w:sz w:val="32"/>
          <w:szCs w:val="32"/>
        </w:rPr>
      </w:pPr>
      <w:r>
        <w:rPr>
          <w:rFonts w:hint="eastAsia" w:ascii="仿宋" w:hAnsi="仿宋" w:eastAsia="仿宋" w:cs="仿宋"/>
          <w:b/>
          <w:sz w:val="32"/>
          <w:szCs w:val="32"/>
        </w:rPr>
        <w:t>一、大力推动技术革新、产业创新</w:t>
      </w:r>
    </w:p>
    <w:p w14:paraId="205D86CE">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充分发挥辖区企业、高等院校和科研机构等创新资源聚集，加快促进航空航天、电力装备、电子材料、电子元器件、光电信息、新型铜合金材料、生物药、中成药等重点领域发展，争取在2025年高新技术产业增加值占GDP的比重达到16%，建成5个以上省级产业创新中心、技术创新中心或制造业创新中心力争建成1个国家级创新中心。</w:t>
      </w:r>
    </w:p>
    <w:p w14:paraId="1FB4B325">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生物与医药产业以产业园为抓手，以重大项目为支撑，依托慧康集团、西安正大集团等优势企业，带动产业规模化发展，重点发展各类生物工程、新型疫苗科研技术、各类中药饮片、中成药的研发。节能环保产业抓住绿色经济、低碳经济、循环经济发展机遇，坚持能源节约、资源综合利用和环境治理并重的清洁生产模式，重点发展大气、水污染防治和节能新技术、新装备、新产品，加快形成节能和环保装备、材料及技术服务产业链。新材料加强产业自主创新，以雁塔未来产业城西安斯瑞铜合金全球中心为龙头，深耕高端金属材料领域，加强产业链延伸，着力突破现有航空航天、汽车、轨道交通、电子等领域高性能有色金属新材料生产瓶颈，强化创新。新能源以优化能源利用方式、提高能源利用率为核心，发挥资源优势和产业基础，提高技术水平，重点发展光伏发电、新型环保电池、风能等。</w:t>
      </w:r>
    </w:p>
    <w:p w14:paraId="25C24996">
      <w:pPr>
        <w:adjustRightInd w:val="0"/>
        <w:snapToGrid w:val="0"/>
        <w:ind w:firstLine="643" w:firstLineChars="200"/>
        <w:rPr>
          <w:rFonts w:ascii="仿宋" w:hAnsi="仿宋" w:eastAsia="仿宋" w:cs="仿宋"/>
          <w:b/>
          <w:sz w:val="32"/>
          <w:szCs w:val="32"/>
        </w:rPr>
      </w:pPr>
      <w:bookmarkStart w:id="166" w:name="_Toc7400"/>
      <w:bookmarkStart w:id="167" w:name="_Toc5220"/>
      <w:bookmarkStart w:id="168" w:name="_Toc3147"/>
      <w:bookmarkStart w:id="169" w:name="_Toc432765871"/>
      <w:bookmarkStart w:id="170" w:name="_Toc25008"/>
      <w:bookmarkStart w:id="171" w:name="_Toc29031"/>
      <w:bookmarkStart w:id="172" w:name="_Toc466886037"/>
      <w:bookmarkStart w:id="173" w:name="_Toc26538"/>
      <w:bookmarkStart w:id="174" w:name="_Toc1315"/>
      <w:bookmarkStart w:id="175" w:name="_Toc21942"/>
      <w:bookmarkStart w:id="176" w:name="_Toc457484808"/>
      <w:r>
        <w:rPr>
          <w:rFonts w:hint="eastAsia" w:ascii="仿宋" w:hAnsi="仿宋" w:eastAsia="仿宋" w:cs="仿宋"/>
          <w:b/>
          <w:sz w:val="32"/>
          <w:szCs w:val="32"/>
        </w:rPr>
        <w:t>二、加快传统行业升级改造</w:t>
      </w:r>
      <w:bookmarkEnd w:id="166"/>
      <w:bookmarkEnd w:id="167"/>
      <w:bookmarkEnd w:id="168"/>
      <w:bookmarkEnd w:id="169"/>
      <w:bookmarkEnd w:id="170"/>
      <w:bookmarkEnd w:id="171"/>
      <w:bookmarkEnd w:id="172"/>
      <w:bookmarkEnd w:id="173"/>
      <w:bookmarkEnd w:id="174"/>
      <w:bookmarkEnd w:id="175"/>
      <w:bookmarkEnd w:id="176"/>
    </w:p>
    <w:p w14:paraId="4A85FCE9">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加快对传统行业的升级改造，提升质量，实现雁塔区机械装备、电气机械及器材制造业、专用设备制造业、非金属矿物制品业、通用设备制造业等传统工业的绿色转型。</w:t>
      </w:r>
    </w:p>
    <w:p w14:paraId="55A3AB0F">
      <w:pPr>
        <w:widowControl/>
        <w:adjustRightInd w:val="0"/>
        <w:snapToGrid w:val="0"/>
        <w:ind w:firstLine="601"/>
        <w:jc w:val="left"/>
        <w:rPr>
          <w:rFonts w:ascii="仿宋" w:hAnsi="仿宋" w:eastAsia="仿宋" w:cs="仿宋"/>
          <w:sz w:val="32"/>
          <w:szCs w:val="32"/>
        </w:rPr>
      </w:pPr>
      <w:r>
        <w:rPr>
          <w:rFonts w:hint="eastAsia" w:ascii="仿宋" w:hAnsi="仿宋" w:eastAsia="仿宋" w:cs="仿宋"/>
          <w:sz w:val="32"/>
          <w:szCs w:val="32"/>
        </w:rPr>
        <w:t>加快两业融合。积极推进制造业服务化，鼓励制造企业向服务型制造转型，延伸产业链，加快从单一产品制造向“产品+服务”转型。在电子信息、新材料等领域，开拓个性化定制、全生命周期管理、融资租赁等服务。</w:t>
      </w:r>
    </w:p>
    <w:p w14:paraId="77021700">
      <w:pPr>
        <w:adjustRightInd w:val="0"/>
        <w:snapToGrid w:val="0"/>
        <w:ind w:firstLine="643" w:firstLineChars="200"/>
        <w:rPr>
          <w:rFonts w:ascii="仿宋" w:hAnsi="仿宋" w:eastAsia="仿宋" w:cs="仿宋"/>
          <w:b/>
          <w:sz w:val="32"/>
          <w:szCs w:val="32"/>
        </w:rPr>
      </w:pPr>
      <w:bookmarkStart w:id="177" w:name="_Toc109"/>
      <w:bookmarkStart w:id="178" w:name="_Toc584"/>
      <w:bookmarkStart w:id="179" w:name="_Toc466886039"/>
      <w:bookmarkStart w:id="180" w:name="_Toc432765873"/>
      <w:bookmarkStart w:id="181" w:name="_Toc5353"/>
      <w:bookmarkStart w:id="182" w:name="_Toc457484810"/>
      <w:bookmarkStart w:id="183" w:name="_Toc1545"/>
      <w:bookmarkStart w:id="184" w:name="_Toc23331"/>
      <w:bookmarkStart w:id="185" w:name="_Toc12374"/>
      <w:bookmarkStart w:id="186" w:name="_Toc16548"/>
      <w:bookmarkStart w:id="187" w:name="_Toc30753"/>
      <w:r>
        <w:rPr>
          <w:rFonts w:hint="eastAsia" w:ascii="仿宋" w:hAnsi="仿宋" w:eastAsia="仿宋" w:cs="仿宋"/>
          <w:b/>
          <w:sz w:val="32"/>
          <w:szCs w:val="32"/>
        </w:rPr>
        <w:t>三、</w:t>
      </w:r>
      <w:bookmarkEnd w:id="177"/>
      <w:bookmarkEnd w:id="178"/>
      <w:bookmarkEnd w:id="179"/>
      <w:bookmarkEnd w:id="180"/>
      <w:bookmarkEnd w:id="181"/>
      <w:bookmarkEnd w:id="182"/>
      <w:bookmarkEnd w:id="183"/>
      <w:bookmarkEnd w:id="184"/>
      <w:bookmarkEnd w:id="185"/>
      <w:bookmarkEnd w:id="186"/>
      <w:bookmarkEnd w:id="187"/>
      <w:r>
        <w:rPr>
          <w:rFonts w:hint="eastAsia" w:ascii="仿宋" w:hAnsi="仿宋" w:eastAsia="仿宋" w:cs="仿宋"/>
          <w:b/>
          <w:sz w:val="32"/>
          <w:szCs w:val="32"/>
        </w:rPr>
        <w:t>稳步调整产业结构，实施落后产能退出</w:t>
      </w:r>
    </w:p>
    <w:p w14:paraId="1F3CD8DC">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按照国家《促进产业结构调整暂行规定》和《产业结构调整指导目录》，雁塔区严格限制并逐步淘汰高能耗、高物耗、高排放、低产出的生产企业以及落后的生产工艺、技术和设备，逐步形成有利于节约资源、保护环境的产业结构。落实全市制定的三环内传统高排放企业搬迁或退出工作方案</w:t>
      </w:r>
      <w:r>
        <w:rPr>
          <w:rFonts w:hint="eastAsia" w:ascii="仿宋" w:hAnsi="仿宋" w:eastAsia="仿宋" w:cs="仿宋"/>
          <w:spacing w:val="-4"/>
          <w:sz w:val="32"/>
          <w:szCs w:val="32"/>
        </w:rPr>
        <w:t>并启</w:t>
      </w:r>
      <w:r>
        <w:rPr>
          <w:rFonts w:hint="eastAsia" w:ascii="仿宋" w:hAnsi="仿宋" w:eastAsia="仿宋" w:cs="仿宋"/>
          <w:sz w:val="32"/>
          <w:szCs w:val="32"/>
        </w:rPr>
        <w:t>动实施。完成辖区内“八大行业”企业摸底工作，并根据辖区内摸排情况，制定方案；制定具体搬迁或退出方案。对能耗超限额标准的企业和高耗水企业实行阶梯电价和水价，督促企业进行节能、节水方面的技术改造。对于无法改造的企业要逐步实行落后产能退出工程。</w:t>
      </w:r>
      <w:bookmarkStart w:id="188" w:name="_Toc25863"/>
      <w:bookmarkStart w:id="189" w:name="_Toc3394"/>
      <w:bookmarkStart w:id="190" w:name="_Toc1188"/>
      <w:bookmarkStart w:id="191" w:name="_Toc466886041"/>
      <w:bookmarkStart w:id="192" w:name="_Toc4796"/>
      <w:bookmarkStart w:id="193" w:name="_Toc14989"/>
      <w:bookmarkStart w:id="194" w:name="_Toc4337"/>
      <w:bookmarkStart w:id="195" w:name="_Toc2713"/>
      <w:bookmarkStart w:id="196" w:name="_Toc432765876"/>
      <w:bookmarkStart w:id="197" w:name="_Toc11049"/>
      <w:bookmarkStart w:id="198" w:name="_Toc457484812"/>
      <w:bookmarkStart w:id="199" w:name="_Toc432765877"/>
    </w:p>
    <w:p w14:paraId="2965DF1C">
      <w:pPr>
        <w:adjustRightInd w:val="0"/>
        <w:snapToGrid w:val="0"/>
        <w:ind w:firstLine="643" w:firstLineChars="200"/>
        <w:rPr>
          <w:rFonts w:ascii="仿宋" w:hAnsi="仿宋" w:eastAsia="仿宋" w:cs="仿宋"/>
          <w:b/>
          <w:sz w:val="32"/>
          <w:szCs w:val="32"/>
        </w:rPr>
      </w:pPr>
      <w:r>
        <w:rPr>
          <w:rFonts w:hint="eastAsia" w:ascii="仿宋" w:hAnsi="仿宋" w:eastAsia="仿宋" w:cs="仿宋"/>
          <w:b/>
          <w:sz w:val="32"/>
          <w:szCs w:val="32"/>
        </w:rPr>
        <w:t>四、</w:t>
      </w:r>
      <w:bookmarkEnd w:id="188"/>
      <w:bookmarkEnd w:id="189"/>
      <w:bookmarkEnd w:id="190"/>
      <w:bookmarkEnd w:id="191"/>
      <w:bookmarkEnd w:id="192"/>
      <w:bookmarkEnd w:id="193"/>
      <w:bookmarkEnd w:id="194"/>
      <w:bookmarkEnd w:id="195"/>
      <w:bookmarkEnd w:id="196"/>
      <w:bookmarkEnd w:id="197"/>
      <w:bookmarkEnd w:id="198"/>
      <w:r>
        <w:rPr>
          <w:rFonts w:hint="eastAsia" w:ascii="仿宋" w:hAnsi="仿宋" w:eastAsia="仿宋" w:cs="仿宋"/>
          <w:b/>
          <w:sz w:val="32"/>
          <w:szCs w:val="32"/>
        </w:rPr>
        <w:t>加快优化能源结构</w:t>
      </w:r>
    </w:p>
    <w:p w14:paraId="6DD4913E">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在保持经济发展，调整产业结构的前提下，调节石油、煤炭、天然气及非化石能源比例，确保非化石能源占一次能源消费总量比重和单位GDP二氧化碳排放下降强度达到省下达指标要求。完成煤炭削减任务，持续推进清洁取暖。鼓励企业资源型清洁生产，鼓励企业通过改善管理、优化工艺等措施，实施产业、产品结构调整与清洁生产技术相结合，实现增产增效、降耗减亏。大力发展清洁能源，进一步优化能源结构。</w:t>
      </w:r>
    </w:p>
    <w:bookmarkEnd w:id="199"/>
    <w:p w14:paraId="267325C6">
      <w:pPr>
        <w:adjustRightInd w:val="0"/>
        <w:snapToGrid w:val="0"/>
        <w:ind w:firstLine="643" w:firstLineChars="200"/>
        <w:rPr>
          <w:rFonts w:ascii="仿宋" w:hAnsi="仿宋" w:eastAsia="仿宋" w:cs="仿宋"/>
          <w:b/>
          <w:sz w:val="32"/>
          <w:szCs w:val="32"/>
        </w:rPr>
      </w:pPr>
      <w:r>
        <w:rPr>
          <w:rFonts w:hint="eastAsia" w:ascii="仿宋" w:hAnsi="仿宋" w:eastAsia="仿宋" w:cs="仿宋"/>
          <w:b/>
          <w:sz w:val="32"/>
          <w:szCs w:val="32"/>
        </w:rPr>
        <w:t>五、推动绿色出行</w:t>
      </w:r>
    </w:p>
    <w:p w14:paraId="10CA200D">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1、优化城市公交系统</w:t>
      </w:r>
    </w:p>
    <w:p w14:paraId="0ADA4A05">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加快发展公交优先通道，建设中心城区公共交通专用道系统。增加公交运营车辆，加快老旧公交车辆更新，提升清洁燃料公交车所占比例；加速公交站场建设，调整优化公交网路，适当延长中心城区公交中途站间距离，增加城区公交车辆运载能力。</w:t>
      </w:r>
    </w:p>
    <w:p w14:paraId="56D97BC8">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2、完善城市慢行交通系统</w:t>
      </w:r>
    </w:p>
    <w:p w14:paraId="1EC758D1">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重视发展安全、舒适的步行交通。提高中心区人行道标准，逐步扩大安装行人信号灯的范围和路口数量；改进交叉口设计，增设安全岛。适当拓宽干道上的人行道，增设地下通道或过街天桥，在道路两侧建绿化休闲带。进一步完善落实健康绿道建设工程，保障步行交通。</w:t>
      </w:r>
    </w:p>
    <w:p w14:paraId="2193E626">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完善现有绿色自行车（含电动车）专用道系统，提高自行车道路宽度，设计封闭的道路以提高自行车交通安全性。</w:t>
      </w:r>
    </w:p>
    <w:p w14:paraId="69C8F3E5">
      <w:pPr>
        <w:adjustRightInd w:val="0"/>
        <w:snapToGrid w:val="0"/>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、加强城市停车系统建设</w:t>
      </w:r>
    </w:p>
    <w:p w14:paraId="45ECB225">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加强中心市区机动车停车场建设与管理，推进停车场规划建设，规范停车场使用，提升停车经营服务水平，维护停车秩序，改善城市交通环境。“十四五”期间，推动5万个以上泊位建设（含改造停车位），建成地下停车场100个。</w:t>
      </w:r>
    </w:p>
    <w:p w14:paraId="483CA502">
      <w:pPr>
        <w:adjustRightInd w:val="0"/>
        <w:snapToGrid w:val="0"/>
        <w:ind w:firstLine="643" w:firstLineChars="200"/>
        <w:rPr>
          <w:rFonts w:ascii="仿宋" w:hAnsi="仿宋" w:eastAsia="仿宋" w:cs="仿宋"/>
          <w:b/>
          <w:sz w:val="32"/>
          <w:szCs w:val="32"/>
        </w:rPr>
      </w:pPr>
      <w:r>
        <w:rPr>
          <w:rFonts w:hint="eastAsia" w:ascii="仿宋" w:hAnsi="仿宋" w:eastAsia="仿宋" w:cs="仿宋"/>
          <w:b/>
          <w:sz w:val="32"/>
          <w:szCs w:val="32"/>
        </w:rPr>
        <w:t>六、推广绿色建筑与节能化改造</w:t>
      </w:r>
    </w:p>
    <w:p w14:paraId="75874D25">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1、推进建筑节能改造</w:t>
      </w:r>
    </w:p>
    <w:p w14:paraId="5B63111F">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深入开展“建筑节能”活动，坚持统筹安排、节能环保、经济实用、技术可行、保障安全的原则，推进重点节能工程项目建设，2021年起，城镇新建居住建筑执行《西安市居住建筑节能设计标准》（DBJ 61-164-2019）（75%）节能标准，公共建筑执行《公共建筑节能设计标准》（GB 50189-2015）（65%）节能标准，新建建筑节能标准设计阶段执行率保持100%。</w:t>
      </w:r>
    </w:p>
    <w:p w14:paraId="55309431">
      <w:pPr>
        <w:widowControl/>
        <w:adjustRightInd w:val="0"/>
        <w:snapToGrid w:val="0"/>
        <w:ind w:firstLine="640" w:firstLineChars="200"/>
        <w:jc w:val="left"/>
        <w:rPr>
          <w:rFonts w:ascii="仿宋" w:hAnsi="仿宋" w:eastAsia="仿宋" w:cs="仿宋"/>
          <w:b/>
          <w:kern w:val="0"/>
          <w:sz w:val="32"/>
          <w:szCs w:val="32"/>
        </w:rPr>
      </w:pPr>
      <w:r>
        <w:rPr>
          <w:rFonts w:hint="eastAsia" w:ascii="仿宋" w:hAnsi="仿宋" w:eastAsia="仿宋" w:cs="仿宋"/>
          <w:sz w:val="32"/>
          <w:szCs w:val="32"/>
        </w:rPr>
        <w:t>加快推进既有建筑节能改造工作，推进重点领域和重点用能单位节能管理。在公共建筑和公共机构开展办公建筑空调、通风、照明、热水等用能系统的节能改造，鼓励采用合同能源管理模式，统筹推动既有公共建筑绿色改造。提高用能效率和管理水平。按照国家清洁取暖试点城市建设工作方案，加强民用建筑节能管理，降低能源消耗。2021年起，在辖区内开展老旧小区、棚户区综合改造，以及城市市容市貌综合治理中同步开展节能改造。</w:t>
      </w:r>
    </w:p>
    <w:p w14:paraId="3AF93068">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2、促进绿色建筑发展</w:t>
      </w:r>
    </w:p>
    <w:p w14:paraId="3987D68F">
      <w:pPr>
        <w:adjustRightInd w:val="0"/>
        <w:snapToGrid w:val="0"/>
        <w:ind w:firstLine="640" w:firstLineChars="200"/>
        <w:rPr>
          <w:rFonts w:ascii="仿宋" w:hAnsi="仿宋" w:eastAsia="仿宋" w:cs="仿宋"/>
          <w:kern w:val="0"/>
          <w:sz w:val="32"/>
          <w:szCs w:val="32"/>
        </w:rPr>
      </w:pPr>
      <w:r>
        <w:rPr>
          <w:rFonts w:hint="eastAsia" w:ascii="仿宋" w:hAnsi="仿宋" w:eastAsia="仿宋" w:cs="仿宋"/>
          <w:kern w:val="0"/>
          <w:sz w:val="32"/>
          <w:szCs w:val="32"/>
        </w:rPr>
        <w:t>加大绿色建筑和绿色基础设施推广力度。2021年起，城镇新建民用建筑全部执行《绿色建筑评价标准》（GB/T 50378-2019），新建建筑应按照绿色建筑基本级及以上等级的设计、建设，并开展绿色建筑评价标识工作。</w:t>
      </w:r>
    </w:p>
    <w:p w14:paraId="4F05FBAF">
      <w:pPr>
        <w:widowControl/>
        <w:adjustRightInd w:val="0"/>
        <w:snapToGrid w:val="0"/>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加快国家装配式建筑范例城市建设，研究出台装配式建筑激励政策，推动装配式建筑产业化模式转型发展。鼓励绿色建材等新型施工材料、工艺和设备，制定推广应用绿色建材政策措施，政府投资工程、公共建筑率先采用绿色建材。加强建筑废弃物资源化再生利用的研究与应用工作，完善绿色建材信息系统，组织申报绿色建材产品。</w:t>
      </w:r>
    </w:p>
    <w:p w14:paraId="1E745EFC">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3、推进可再生能源建筑应用</w:t>
      </w:r>
    </w:p>
    <w:p w14:paraId="0DDC170B">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推动建筑工业化和推进建筑废弃物资源化利用。积极支持绿色建材产业发展，组织开展绿色建材产业化示范，加快发展防火隔热性能好的建筑保温体系和材料，积极发展加气混凝土制品、多功能复合一体化墙体材料、一体化屋面、低辐射镀膜玻璃、断桥隔热门窗、遮阳系统等建材。鼓励引导企业综合利用建筑废弃物。</w:t>
      </w:r>
    </w:p>
    <w:p w14:paraId="25DEE199">
      <w:pPr>
        <w:pStyle w:val="4"/>
        <w:adjustRightInd w:val="0"/>
        <w:snapToGrid w:val="0"/>
        <w:spacing w:line="560" w:lineRule="exact"/>
        <w:ind w:firstLine="0" w:firstLineChars="0"/>
        <w:jc w:val="center"/>
        <w:rPr>
          <w:rFonts w:ascii="仿宋" w:hAnsi="仿宋" w:cs="仿宋"/>
          <w:bCs w:val="0"/>
          <w:sz w:val="32"/>
        </w:rPr>
      </w:pPr>
      <w:bookmarkStart w:id="200" w:name="_Toc101253368"/>
      <w:r>
        <w:rPr>
          <w:rFonts w:hint="eastAsia" w:ascii="仿宋" w:hAnsi="仿宋" w:cs="仿宋"/>
          <w:bCs w:val="0"/>
          <w:sz w:val="32"/>
        </w:rPr>
        <w:t>第三节  建设绿色低碳城区，积极应对气候变化</w:t>
      </w:r>
      <w:bookmarkEnd w:id="200"/>
    </w:p>
    <w:p w14:paraId="7D2592B8">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落实中央、省、市上关于碳达峰目标任务要求，制定实施本区达峰行动方案，积极落实目标任务要求，探索实施二氧化碳排放强度和总量双控。加快达峰进程，积极开展低碳城市建设，创建低碳园区、低碳社区、低碳校园。倡导绿色出行，实行公共交通优先战略，鼓励新能源汽车应用。推广“绿色建筑”、低能耗建筑和绿色施工，加快对现有建筑节能改造。</w:t>
      </w:r>
    </w:p>
    <w:p w14:paraId="6C6119C5">
      <w:pPr>
        <w:snapToGrid w:val="0"/>
        <w:ind w:firstLine="643" w:firstLineChars="200"/>
        <w:rPr>
          <w:rFonts w:ascii="仿宋" w:hAnsi="仿宋" w:eastAsia="仿宋" w:cs="仿宋"/>
          <w:b/>
          <w:sz w:val="32"/>
          <w:szCs w:val="32"/>
        </w:rPr>
      </w:pPr>
      <w:r>
        <w:rPr>
          <w:rFonts w:hint="eastAsia" w:ascii="仿宋" w:hAnsi="仿宋" w:eastAsia="仿宋" w:cs="仿宋"/>
          <w:b/>
          <w:sz w:val="32"/>
          <w:szCs w:val="32"/>
        </w:rPr>
        <w:t>一、建设绿色低碳城区</w:t>
      </w:r>
    </w:p>
    <w:p w14:paraId="378E2541">
      <w:pPr>
        <w:snapToGrid w:val="0"/>
        <w:ind w:firstLine="640" w:firstLineChars="200"/>
        <w:rPr>
          <w:rFonts w:ascii="仿宋" w:hAnsi="仿宋" w:eastAsia="仿宋" w:cs="仿宋"/>
          <w:sz w:val="32"/>
          <w:szCs w:val="32"/>
        </w:rPr>
      </w:pPr>
      <w:r>
        <w:rPr>
          <w:rFonts w:hint="eastAsia" w:ascii="仿宋" w:hAnsi="仿宋" w:eastAsia="仿宋" w:cs="仿宋"/>
          <w:sz w:val="32"/>
          <w:szCs w:val="32"/>
        </w:rPr>
        <w:t>1、开展低碳排放区示范</w:t>
      </w:r>
    </w:p>
    <w:p w14:paraId="15FF525F">
      <w:pPr>
        <w:snapToGrid w:val="0"/>
        <w:ind w:firstLine="640" w:firstLineChars="200"/>
        <w:rPr>
          <w:rFonts w:ascii="仿宋" w:hAnsi="仿宋" w:eastAsia="仿宋" w:cs="仿宋"/>
          <w:sz w:val="32"/>
          <w:szCs w:val="32"/>
        </w:rPr>
      </w:pPr>
      <w:r>
        <w:rPr>
          <w:rFonts w:hint="eastAsia" w:ascii="仿宋" w:hAnsi="仿宋" w:eastAsia="仿宋" w:cs="仿宋"/>
          <w:sz w:val="32"/>
          <w:szCs w:val="32"/>
        </w:rPr>
        <w:t>围绕碳达峰、碳中和目标，制定区内重点行业碳达峰行动方案，组织开展低碳示范园区创建，建设一批低碳园区和工厂，支持工业区结合实施达峰行动，开展区域二氧化碳减排专项评估，推动实施绿色化低碳化改造。推进生产、流通、消费各环节循环低碳发展，着力构建多元化、多层次的循环经济产业链。建立以企业为主体的低碳产业链，促进低碳产业集群发展壮大。研发和推广绿色节能、低碳运营和循环发展新技术，强化节能环保技术成果推广应用。推动雁塔未来产业城循环化改造，完善园区资源能源利用管理体系，制定园区能源高效利用标准、水循环利用标准、土地效益标准，调控企业内部节能和能源回收利用、企业间能源梯级利用，探索采取转包、出租、互换、转让等方式流转土地承包经营权，严控低附加值和低技术含量的项目用地审批。总结可推广、可复制的示范试点经验，加快形成符合雁塔区自身特点的“零碳”发展模式。</w:t>
      </w:r>
    </w:p>
    <w:p w14:paraId="3385B89C">
      <w:pPr>
        <w:snapToGrid w:val="0"/>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、大力推广绿色低碳建筑</w:t>
      </w:r>
    </w:p>
    <w:p w14:paraId="6B35BEC5">
      <w:pPr>
        <w:pStyle w:val="26"/>
        <w:snapToGrid w:val="0"/>
        <w:spacing w:after="0"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进一步提高建筑领域低碳建筑，结合城市老旧小区改造和城乡公共设施建设，鼓励发展节能门窗、绿色节能建材，开展“近零碳建筑”、“装配式建筑”等绿色低碳建筑建设工程。加快推进既有建筑节能改造，以外墙、屋顶、窗户节能改造为重点，加快推进既有建筑节能改造和供热计量改造工作。探索乡村节能建筑建设。</w:t>
      </w:r>
    </w:p>
    <w:p w14:paraId="33EF065C">
      <w:pPr>
        <w:snapToGrid w:val="0"/>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、构建绿色交通体系</w:t>
      </w:r>
    </w:p>
    <w:p w14:paraId="5E2BBE96">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以创建国家第二批绿色货运配送示范工程城市为契机，创新城市配送机制体制，优化调整货物运输结构。配合市级部门制定出台绿色物流转运中心建设方案，配合全市推进新筑铁路物流中心建设，绕城高速以内货运、物流、配送车辆全部采用新能源汽车。</w:t>
      </w:r>
    </w:p>
    <w:p w14:paraId="0AAF8443">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加快车辆结构升级，全区新增和更新的公交、环卫、邮政、出租车、轻型物流配送车辆使用新能源或清洁能源汽车比例不低于80%，同步配套建设充电桩（站）的建设。完成营运柴油载货车、老旧燃气车淘汰任务，禁止不达标非道路移动工程机械使用。推进柴油车深度治理。城市公共出行机动化分担率不低于60%。</w:t>
      </w:r>
    </w:p>
    <w:p w14:paraId="13758677">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实施公交优先战略。提高公共交通出行比例，加强步行、自行车交通系统建设，建立公共自行车租赁站点，鼓励租赁公共自行车。合理控制机动车保有量，通过鼓励绿色出行、增加使用成本等措施，降低机动车使用强度。</w:t>
      </w:r>
    </w:p>
    <w:p w14:paraId="742FC358">
      <w:pPr>
        <w:adjustRightInd w:val="0"/>
        <w:snapToGrid w:val="0"/>
        <w:ind w:firstLine="643" w:firstLineChars="200"/>
        <w:rPr>
          <w:rFonts w:ascii="仿宋" w:hAnsi="仿宋" w:eastAsia="仿宋" w:cs="仿宋"/>
          <w:b/>
          <w:sz w:val="32"/>
          <w:szCs w:val="32"/>
        </w:rPr>
      </w:pPr>
      <w:bookmarkStart w:id="201" w:name="_Toc15842"/>
      <w:bookmarkStart w:id="202" w:name="_Toc17283"/>
      <w:bookmarkStart w:id="203" w:name="_Toc31708"/>
      <w:bookmarkStart w:id="204" w:name="_Toc85638714"/>
      <w:r>
        <w:rPr>
          <w:rFonts w:hint="eastAsia" w:ascii="仿宋" w:hAnsi="仿宋" w:eastAsia="仿宋" w:cs="仿宋"/>
          <w:b/>
          <w:sz w:val="32"/>
          <w:szCs w:val="32"/>
        </w:rPr>
        <w:t>二、推广绿色低碳的生活方式</w:t>
      </w:r>
      <w:bookmarkEnd w:id="201"/>
      <w:bookmarkEnd w:id="202"/>
      <w:bookmarkEnd w:id="203"/>
      <w:bookmarkEnd w:id="204"/>
    </w:p>
    <w:p w14:paraId="1C1B42E5">
      <w:pPr>
        <w:pStyle w:val="27"/>
        <w:adjustRightInd w:val="0"/>
        <w:snapToGrid w:val="0"/>
        <w:spacing w:after="0"/>
        <w:ind w:left="0" w:leftChars="0" w:firstLine="640"/>
        <w:rPr>
          <w:rFonts w:ascii="仿宋" w:hAnsi="仿宋" w:eastAsia="仿宋" w:cs="仿宋"/>
          <w:bCs/>
          <w:sz w:val="32"/>
          <w:szCs w:val="32"/>
        </w:rPr>
      </w:pPr>
      <w:r>
        <w:rPr>
          <w:rFonts w:hint="eastAsia" w:ascii="仿宋" w:hAnsi="仿宋" w:eastAsia="仿宋" w:cs="仿宋"/>
          <w:bCs/>
          <w:sz w:val="32"/>
          <w:szCs w:val="32"/>
        </w:rPr>
        <w:t>1、加大绿色低碳生活宣传力度</w:t>
      </w:r>
    </w:p>
    <w:p w14:paraId="4C05EF2E">
      <w:pPr>
        <w:widowControl/>
        <w:adjustRightInd w:val="0"/>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培养消费者建立文明、节俭的绿色生活方式和习惯，在辖区范围内开展节能宣传周和低碳日等活动，广泛开展节能降碳宣传教育。推动低碳节能环保宣传活动入小区、进门店、访企业、到学校，动员辖区民众广泛深入参与，营造低碳生活的良好社会氛围。充分利用广播电视、报纸、新媒体网络等宣传媒体，大力倡导绿色低碳生产生活方式，宣传低碳生活的相关知识、做法，提高居民节能意识、资源意识和环境意识，呼吁居民成为低碳节能生活的参与者、践行者、推动者。</w:t>
      </w:r>
    </w:p>
    <w:p w14:paraId="79EB5821">
      <w:pPr>
        <w:pStyle w:val="27"/>
        <w:spacing w:after="0"/>
        <w:ind w:left="0" w:leftChars="0" w:firstLine="640"/>
        <w:contextualSpacing/>
        <w:rPr>
          <w:rFonts w:ascii="仿宋" w:hAnsi="仿宋" w:eastAsia="仿宋" w:cs="仿宋"/>
          <w:bCs/>
          <w:sz w:val="32"/>
          <w:szCs w:val="32"/>
        </w:rPr>
      </w:pPr>
      <w:r>
        <w:rPr>
          <w:rFonts w:hint="eastAsia" w:ascii="仿宋" w:hAnsi="仿宋" w:eastAsia="仿宋" w:cs="仿宋"/>
          <w:bCs/>
          <w:sz w:val="32"/>
          <w:szCs w:val="32"/>
        </w:rPr>
        <w:t>2、引导绿色低碳消费</w:t>
      </w:r>
    </w:p>
    <w:p w14:paraId="367061D3">
      <w:pPr>
        <w:widowControl/>
        <w:ind w:firstLine="640" w:firstLineChars="200"/>
        <w:rPr>
          <w:rFonts w:ascii="仿宋" w:hAnsi="仿宋" w:eastAsia="仿宋" w:cs="仿宋"/>
          <w:kern w:val="0"/>
          <w:sz w:val="32"/>
          <w:szCs w:val="32"/>
        </w:rPr>
      </w:pPr>
      <w:r>
        <w:rPr>
          <w:rFonts w:hint="eastAsia" w:ascii="仿宋" w:hAnsi="仿宋" w:eastAsia="仿宋" w:cs="仿宋"/>
          <w:kern w:val="0"/>
          <w:sz w:val="32"/>
          <w:szCs w:val="32"/>
        </w:rPr>
        <w:t>推动绿色低碳消费模式。鼓励消费者在消费过程中使用节能减排、绿色环保、无污染低碳型产品；消引导居民改变落后的消费方式，树立正确低碳消费观念，夯实资源节约型和环境友好型社会建设基础。鼓励消费者在消费过程中使用节能减排、绿色环保、无污染低碳型产品，过程中注意与周围环境和谐共处，避免发生以牺牲自然环境为代价的消费行为和活动。注重消费品的简朴、使用，杜绝铺张浪费。社区推广废品和垃圾分类回收和循环使用，使资源节约利用和回收再利用行为成为市民的自觉行动。</w:t>
      </w:r>
    </w:p>
    <w:p w14:paraId="06AE4888">
      <w:pPr>
        <w:pStyle w:val="27"/>
        <w:snapToGrid w:val="0"/>
        <w:ind w:left="0" w:leftChars="0" w:firstLine="640"/>
        <w:rPr>
          <w:rFonts w:ascii="仿宋" w:hAnsi="仿宋" w:eastAsia="仿宋" w:cs="仿宋"/>
          <w:bCs/>
          <w:sz w:val="32"/>
          <w:szCs w:val="32"/>
        </w:rPr>
      </w:pPr>
      <w:r>
        <w:rPr>
          <w:rFonts w:hint="eastAsia" w:ascii="仿宋" w:hAnsi="仿宋" w:eastAsia="仿宋" w:cs="仿宋"/>
          <w:bCs/>
          <w:sz w:val="32"/>
          <w:szCs w:val="32"/>
        </w:rPr>
        <w:t>3、推动绿色低碳出行</w:t>
      </w:r>
    </w:p>
    <w:p w14:paraId="55988433">
      <w:pPr>
        <w:adjustRightInd w:val="0"/>
        <w:snapToGrid w:val="0"/>
        <w:ind w:firstLine="640" w:firstLineChars="200"/>
        <w:rPr>
          <w:rFonts w:ascii="仿宋" w:hAnsi="仿宋" w:eastAsia="仿宋" w:cs="仿宋"/>
          <w:b/>
          <w:sz w:val="32"/>
          <w:szCs w:val="32"/>
        </w:rPr>
      </w:pPr>
      <w:r>
        <w:rPr>
          <w:rFonts w:hint="eastAsia" w:ascii="仿宋" w:hAnsi="仿宋" w:eastAsia="仿宋" w:cs="仿宋"/>
          <w:kern w:val="0"/>
          <w:sz w:val="32"/>
          <w:szCs w:val="32"/>
        </w:rPr>
        <w:t>鼓励居民出行充分利用方便快捷的公共交通系统，考虑多种交通运输方式的衔接与协调。尽量选择乘坐公共交通工具或者步行、骑自行车。用自己的实际行动来缓解道路交通压力，节约能源，减少环境污染，形成自行车、机动车和行人和谐发展。</w:t>
      </w:r>
    </w:p>
    <w:p w14:paraId="5CEDF986">
      <w:pPr>
        <w:adjustRightInd w:val="0"/>
        <w:snapToGrid w:val="0"/>
        <w:ind w:firstLine="640" w:firstLineChars="200"/>
        <w:rPr>
          <w:rFonts w:ascii="仿宋" w:hAnsi="仿宋" w:eastAsia="仿宋" w:cs="仿宋"/>
        </w:rPr>
      </w:pPr>
      <w:r>
        <w:rPr>
          <w:rFonts w:hint="eastAsia" w:ascii="仿宋" w:hAnsi="仿宋" w:eastAsia="仿宋" w:cs="仿宋"/>
          <w:sz w:val="32"/>
          <w:szCs w:val="32"/>
        </w:rPr>
        <w:t>鼓励选用环保、节能、小排量的经济型轿车，逐步控制城市中心区交通流量，鼓励郊区居民使用公共交通进出城区，提高出行效率，减少汽车尾气污染。</w:t>
      </w:r>
    </w:p>
    <w:p w14:paraId="7D394A2F">
      <w:pPr>
        <w:pStyle w:val="26"/>
        <w:spacing w:line="560" w:lineRule="exact"/>
        <w:ind w:firstLineChars="200"/>
        <w:jc w:val="left"/>
      </w:pPr>
    </w:p>
    <w:p w14:paraId="1FC286BD">
      <w:pPr>
        <w:adjustRightInd w:val="0"/>
        <w:snapToGrid w:val="0"/>
        <w:jc w:val="center"/>
        <w:outlineLvl w:val="0"/>
        <w:rPr>
          <w:rFonts w:ascii="仿宋" w:hAnsi="仿宋" w:eastAsia="仿宋" w:cs="仿宋"/>
          <w:b/>
          <w:sz w:val="32"/>
          <w:szCs w:val="32"/>
        </w:rPr>
      </w:pPr>
      <w:r>
        <w:rPr>
          <w:rFonts w:ascii="仿宋" w:hAnsi="仿宋" w:eastAsia="仿宋" w:cs="仿宋"/>
          <w:b/>
          <w:sz w:val="32"/>
          <w:szCs w:val="32"/>
        </w:rPr>
        <w:br w:type="page"/>
      </w:r>
      <w:bookmarkStart w:id="205" w:name="_Toc101253369"/>
      <w:r>
        <w:rPr>
          <w:rFonts w:hint="eastAsia" w:ascii="仿宋" w:hAnsi="仿宋" w:eastAsia="仿宋" w:cs="仿宋"/>
          <w:b/>
          <w:sz w:val="32"/>
          <w:szCs w:val="32"/>
        </w:rPr>
        <w:t>第四章  加强协同控制，强化大气污染防治</w:t>
      </w:r>
      <w:bookmarkEnd w:id="205"/>
    </w:p>
    <w:p w14:paraId="03566ECA">
      <w:pPr>
        <w:pStyle w:val="56"/>
        <w:snapToGrid w:val="0"/>
        <w:spacing w:line="560" w:lineRule="exact"/>
        <w:ind w:firstLine="640" w:firstLineChars="200"/>
        <w:rPr>
          <w:rFonts w:ascii="仿宋" w:hAnsi="仿宋" w:eastAsia="仿宋" w:cs="仿宋"/>
          <w:color w:val="auto"/>
          <w:sz w:val="32"/>
          <w:szCs w:val="32"/>
          <w:lang w:bidi="zh-CN"/>
        </w:rPr>
      </w:pPr>
      <w:bookmarkStart w:id="206" w:name="_Toc82185351"/>
      <w:r>
        <w:rPr>
          <w:rFonts w:hint="eastAsia" w:ascii="仿宋" w:hAnsi="仿宋" w:eastAsia="仿宋" w:cs="仿宋"/>
          <w:color w:val="auto"/>
          <w:sz w:val="32"/>
          <w:szCs w:val="32"/>
          <w:lang w:bidi="zh-CN"/>
        </w:rPr>
        <w:t>持续推进大气污染防治攻坚行动，以PM</w:t>
      </w:r>
      <w:r>
        <w:rPr>
          <w:rFonts w:hint="eastAsia" w:ascii="仿宋" w:hAnsi="仿宋" w:eastAsia="仿宋" w:cs="仿宋"/>
          <w:color w:val="auto"/>
          <w:sz w:val="32"/>
          <w:szCs w:val="32"/>
          <w:vertAlign w:val="subscript"/>
          <w:lang w:bidi="zh-CN"/>
        </w:rPr>
        <w:t>2.5</w:t>
      </w:r>
      <w:r>
        <w:rPr>
          <w:rFonts w:hint="eastAsia" w:ascii="仿宋" w:hAnsi="仿宋" w:eastAsia="仿宋" w:cs="仿宋"/>
          <w:color w:val="auto"/>
          <w:sz w:val="32"/>
          <w:szCs w:val="32"/>
          <w:lang w:bidi="zh-CN"/>
        </w:rPr>
        <w:t>和O</w:t>
      </w:r>
      <w:r>
        <w:rPr>
          <w:rFonts w:hint="eastAsia" w:ascii="仿宋" w:hAnsi="仿宋" w:eastAsia="仿宋" w:cs="仿宋"/>
          <w:color w:val="auto"/>
          <w:sz w:val="32"/>
          <w:szCs w:val="32"/>
          <w:vertAlign w:val="subscript"/>
          <w:lang w:bidi="zh-CN"/>
        </w:rPr>
        <w:t>3</w:t>
      </w:r>
      <w:r>
        <w:rPr>
          <w:rFonts w:hint="eastAsia" w:ascii="仿宋" w:hAnsi="仿宋" w:eastAsia="仿宋" w:cs="仿宋"/>
          <w:color w:val="auto"/>
          <w:sz w:val="32"/>
          <w:szCs w:val="32"/>
          <w:lang w:bidi="zh-CN"/>
        </w:rPr>
        <w:t>协同控制为主线，加快补齐臭氧治理短板，切实改善空气环境质量。</w:t>
      </w:r>
    </w:p>
    <w:p w14:paraId="4629E241">
      <w:pPr>
        <w:pStyle w:val="4"/>
        <w:adjustRightInd w:val="0"/>
        <w:snapToGrid w:val="0"/>
        <w:spacing w:before="120" w:after="120" w:line="560" w:lineRule="exact"/>
        <w:ind w:firstLine="643"/>
        <w:jc w:val="center"/>
        <w:rPr>
          <w:rFonts w:ascii="仿宋" w:hAnsi="仿宋" w:cs="仿宋"/>
          <w:sz w:val="32"/>
          <w:lang w:bidi="zh-CN"/>
        </w:rPr>
      </w:pPr>
      <w:bookmarkStart w:id="207" w:name="_Toc101253370"/>
      <w:r>
        <w:rPr>
          <w:rFonts w:ascii="仿宋" w:hAnsi="仿宋" w:cs="仿宋"/>
          <w:bCs w:val="0"/>
          <w:sz w:val="32"/>
        </w:rPr>
        <w:t>第</w:t>
      </w:r>
      <w:r>
        <w:rPr>
          <w:rFonts w:hint="eastAsia" w:ascii="仿宋" w:hAnsi="仿宋" w:cs="仿宋"/>
          <w:bCs w:val="0"/>
          <w:sz w:val="32"/>
        </w:rPr>
        <w:t xml:space="preserve">一节 </w:t>
      </w:r>
      <w:r>
        <w:rPr>
          <w:rFonts w:ascii="仿宋" w:hAnsi="仿宋" w:cs="仿宋"/>
          <w:bCs w:val="0"/>
          <w:sz w:val="32"/>
        </w:rPr>
        <w:t xml:space="preserve"> </w:t>
      </w:r>
      <w:bookmarkEnd w:id="206"/>
      <w:r>
        <w:rPr>
          <w:rFonts w:hint="eastAsia" w:ascii="仿宋" w:hAnsi="仿宋" w:cs="仿宋"/>
          <w:bCs w:val="0"/>
          <w:sz w:val="32"/>
        </w:rPr>
        <w:t>协同控制细颗粒物和臭氧</w:t>
      </w:r>
      <w:bookmarkEnd w:id="207"/>
    </w:p>
    <w:p w14:paraId="2C377DB4">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强化目标指标管控。根据省级和市级要求，以实现2035年“美丽西安”为目标，科学制定环境空气质量改善阶段性计划，到2025年，二氧化硫、一氧化碳浓度不反弹，二氧化氮、可吸入颗粒物、细颗粒物浓度明显下降。</w:t>
      </w:r>
    </w:p>
    <w:p w14:paraId="0030D198">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持续推进VOCs、臭氧与</w:t>
      </w:r>
      <w:r>
        <w:rPr>
          <w:rFonts w:ascii="仿宋" w:hAnsi="仿宋" w:eastAsia="仿宋" w:cs="仿宋"/>
          <w:sz w:val="32"/>
          <w:szCs w:val="32"/>
        </w:rPr>
        <w:t>PM</w:t>
      </w:r>
      <w:r>
        <w:rPr>
          <w:rFonts w:ascii="仿宋" w:hAnsi="仿宋" w:eastAsia="仿宋" w:cs="仿宋"/>
          <w:sz w:val="32"/>
          <w:szCs w:val="32"/>
          <w:vertAlign w:val="subscript"/>
        </w:rPr>
        <w:t>2.5</w:t>
      </w:r>
      <w:r>
        <w:rPr>
          <w:rFonts w:hint="eastAsia" w:ascii="仿宋" w:hAnsi="仿宋" w:eastAsia="仿宋" w:cs="仿宋"/>
          <w:sz w:val="32"/>
          <w:szCs w:val="32"/>
        </w:rPr>
        <w:t>的协同控制。强化部门间协调联动机制，开展从源头治理到环境控制的全过程管控，大力控制NOx和VOCs排放。统筹考虑PM</w:t>
      </w:r>
      <w:r>
        <w:rPr>
          <w:rFonts w:hint="eastAsia" w:ascii="仿宋" w:hAnsi="仿宋" w:eastAsia="仿宋" w:cs="仿宋"/>
          <w:sz w:val="32"/>
          <w:szCs w:val="32"/>
          <w:vertAlign w:val="subscript"/>
        </w:rPr>
        <w:t>2.5</w:t>
      </w:r>
      <w:r>
        <w:rPr>
          <w:rFonts w:hint="eastAsia" w:ascii="仿宋" w:hAnsi="仿宋" w:eastAsia="仿宋" w:cs="仿宋"/>
          <w:sz w:val="32"/>
          <w:szCs w:val="32"/>
        </w:rPr>
        <w:t>和臭氧污染区域传输规律和季节性特征，精准管控臭氧污染，加强重点区域、重点时段、重点领域、重点行业治理，强化分区分时分类差异化精细化协同管控。</w:t>
      </w:r>
    </w:p>
    <w:p w14:paraId="2F146D00">
      <w:pPr>
        <w:pStyle w:val="4"/>
        <w:adjustRightInd w:val="0"/>
        <w:snapToGrid w:val="0"/>
        <w:spacing w:before="120" w:after="120" w:line="560" w:lineRule="exact"/>
        <w:ind w:firstLine="643"/>
        <w:jc w:val="center"/>
        <w:rPr>
          <w:rFonts w:ascii="仿宋" w:hAnsi="仿宋" w:cs="仿宋"/>
          <w:bCs w:val="0"/>
          <w:sz w:val="32"/>
        </w:rPr>
      </w:pPr>
      <w:bookmarkStart w:id="208" w:name="_Toc101253371"/>
      <w:r>
        <w:rPr>
          <w:rFonts w:hint="eastAsia" w:ascii="仿宋" w:hAnsi="仿宋" w:cs="仿宋"/>
          <w:bCs w:val="0"/>
          <w:sz w:val="32"/>
        </w:rPr>
        <w:t>第二节  开展多污染物协同减排</w:t>
      </w:r>
      <w:bookmarkEnd w:id="208"/>
    </w:p>
    <w:p w14:paraId="7406DC70">
      <w:pPr>
        <w:adjustRightInd w:val="0"/>
        <w:snapToGrid w:val="0"/>
        <w:ind w:firstLine="640" w:firstLineChars="200"/>
        <w:rPr>
          <w:rFonts w:ascii="仿宋" w:hAnsi="仿宋" w:eastAsia="仿宋" w:cs="仿宋"/>
          <w:kern w:val="0"/>
          <w:sz w:val="32"/>
          <w:szCs w:val="32"/>
        </w:rPr>
      </w:pPr>
      <w:r>
        <w:rPr>
          <w:rFonts w:hint="eastAsia" w:ascii="仿宋" w:hAnsi="仿宋" w:eastAsia="仿宋" w:cs="仿宋"/>
          <w:sz w:val="32"/>
          <w:szCs w:val="32"/>
        </w:rPr>
        <w:t>深化区内工业企业VOCs治理。</w:t>
      </w:r>
      <w:r>
        <w:rPr>
          <w:rFonts w:hint="eastAsia" w:ascii="仿宋" w:hAnsi="仿宋" w:eastAsia="仿宋" w:cs="仿宋"/>
          <w:kern w:val="0"/>
          <w:sz w:val="32"/>
          <w:szCs w:val="32"/>
        </w:rPr>
        <w:t>严控新建涉及挥发性有机物排放企业，严把环评关口。扎实做好现有涉及挥发性有机物排放企业的治理，突出重点行业，全力减少存量。对标国际国内先进排放水平，逐步实施现有项目低VOCs含量涂料、油墨、胶粘剂替代，引导鼓励工业企业使用低VOCs含量涂料、油墨、胶粘剂等产品，有序推进先进的有机废气处理工艺的实施，为工业园后续产业引入提供大气环境容量。充分发挥好网格员监督作用，进一步加大投入力度，配备专业监测装备，加强数据分析运用，依托科技手段提升治理效果，同时引导企业建立挥发性有机物监测体系，完善具体操作规程，把工作责任精确落实到岗位、落实到人。配齐喷淋洒水设备，增加工作频次，着力降温、增湿，最大限度抑制臭氧生成。</w:t>
      </w:r>
    </w:p>
    <w:p w14:paraId="0FB7E1BD">
      <w:pPr>
        <w:pStyle w:val="26"/>
        <w:snapToGrid w:val="0"/>
        <w:spacing w:after="0" w:line="560" w:lineRule="exact"/>
        <w:ind w:firstLine="640" w:firstLineChars="200"/>
        <w:jc w:val="left"/>
        <w:rPr>
          <w:rFonts w:ascii="仿宋" w:hAnsi="仿宋" w:eastAsia="仿宋" w:cs="仿宋"/>
          <w:sz w:val="32"/>
          <w:szCs w:val="32"/>
          <w:lang w:bidi="zh-CN"/>
        </w:rPr>
      </w:pPr>
      <w:r>
        <w:rPr>
          <w:rFonts w:hint="eastAsia" w:ascii="仿宋" w:hAnsi="仿宋" w:eastAsia="仿宋" w:cs="仿宋"/>
          <w:sz w:val="32"/>
          <w:szCs w:val="32"/>
        </w:rPr>
        <w:t>实施氮氧化物和VOCs 总量控制，将印刷、喷涂等行业作为重点监管企业，实施全流程、全链条、全环节管控。实行臭氧季节性控制，制定臭氧污染季节重点VOCs企业减排措施。鼓励重点VOCs企业在夏秋季（5-10月份）避免或者减少涉VOCs排放量，在臭氧易发时段（12∶00-17∶00）采取错峰方式减排。</w:t>
      </w:r>
    </w:p>
    <w:p w14:paraId="1ACB4445">
      <w:pPr>
        <w:pStyle w:val="26"/>
        <w:snapToGrid w:val="0"/>
        <w:spacing w:after="0" w:line="560" w:lineRule="exact"/>
        <w:ind w:firstLine="640" w:firstLineChars="200"/>
        <w:jc w:val="left"/>
        <w:rPr>
          <w:rFonts w:ascii="仿宋" w:hAnsi="仿宋" w:eastAsia="仿宋" w:cs="仿宋"/>
          <w:sz w:val="32"/>
          <w:szCs w:val="32"/>
          <w:lang w:bidi="zh-CN"/>
        </w:rPr>
      </w:pPr>
      <w:r>
        <w:rPr>
          <w:rFonts w:hint="eastAsia" w:ascii="仿宋" w:hAnsi="仿宋" w:eastAsia="仿宋" w:cs="仿宋"/>
          <w:sz w:val="32"/>
          <w:szCs w:val="32"/>
          <w:lang w:bidi="zh-CN"/>
        </w:rPr>
        <w:t>积极开展有毒有害大气污染物管控。加强对消耗臭氧层物质（ODS）管理工作，加大执法检查力度，打击违法违规行为。鼓励使用企业对ODS替代品和替代技术进行科学研究、技术开发和推广应用。加强恶臭、有毒有害大气污染物防控，提升臭气异味治理水平。</w:t>
      </w:r>
    </w:p>
    <w:p w14:paraId="3C32BB47">
      <w:pPr>
        <w:pStyle w:val="4"/>
        <w:spacing w:line="560" w:lineRule="exact"/>
        <w:ind w:firstLine="0" w:firstLineChars="0"/>
        <w:jc w:val="center"/>
        <w:rPr>
          <w:rFonts w:ascii="仿宋" w:hAnsi="仿宋" w:cs="仿宋"/>
          <w:bCs w:val="0"/>
          <w:sz w:val="32"/>
        </w:rPr>
      </w:pPr>
      <w:bookmarkStart w:id="209" w:name="_Toc101253372"/>
      <w:r>
        <w:rPr>
          <w:rFonts w:hint="eastAsia" w:ascii="仿宋" w:hAnsi="仿宋" w:cs="仿宋"/>
          <w:bCs w:val="0"/>
          <w:sz w:val="32"/>
        </w:rPr>
        <w:t>第三节  推进大气污染专项治理</w:t>
      </w:r>
      <w:bookmarkEnd w:id="209"/>
    </w:p>
    <w:p w14:paraId="45F4A2A8">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积极开展工业污染治理。深化工业污染治理，巩固燃煤锅炉拆改成效、燃气锅炉低氮改造成果，建立动态工作台账，落实《陕西省工业炉窑大气污染综合治理试试方案》要求，清理《产业结构调整指导目录》中淘汰工业炉窑，积极开展雁塔区内建材等行业污染治理省级改造，加大无组织排放治理力度，严格控制工业炉窑生产工艺过程及相关物料储存、输送等环节无组织排放。推动重点行业有序开展超低排放改造。着力发展清洁生产，依法推进重点区域、重点行业强制性清洁生产审核和清洁生产改造。</w:t>
      </w:r>
    </w:p>
    <w:p w14:paraId="259EA2C4">
      <w:pPr>
        <w:pStyle w:val="26"/>
        <w:adjustRightInd w:val="0"/>
        <w:snapToGrid w:val="0"/>
        <w:spacing w:after="0"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强化移动源污染防控。持续推进清洁柴油车（机）行动，鼓励将老旧车辆和非道路移动机械替换为清洁能源车辆。严格柴油货车禁限行管理。禁止销售不符合西安市执行阶段性标准的汽、柴油，严厉打击生产、销售不合格油品和添加剂行为。对不达标的油品追踪溯源，查处劣质油品存储销售集散地和生产加工企业。持续开展油品质量检查专项行动，以物流基地、货运车辆停车场和休息区、油品运输车、施工工地等为重点，开展监督抽测。其中，对辖区内发现的“黑加油站点”流动油罐车，发现一例立即整治一例，并及时报送市成品油整顿办。</w:t>
      </w:r>
    </w:p>
    <w:p w14:paraId="0610B91F">
      <w:pPr>
        <w:pStyle w:val="26"/>
        <w:adjustRightInd w:val="0"/>
        <w:snapToGrid w:val="0"/>
        <w:spacing w:after="0"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严控施工扬尘污染。落实“6个100%”扬尘污染防治措施。落实《西安市重点扬尘源认定参考标准及程序（试行）》，公布重点扬尘污染源名录。规范扬尘监管在线管控体系。加强施工工地的环境管理。全面推行绿色施工，积极推动建筑施工企业开展环境管理体系认证和绿色工地创建。规范拆迁用地和建筑工地管理，开展扬尘排污收费措施，促进企业开展治理。将扬尘防治措施列入文明施工检查重点内容，组织定期、不定期专项执法检查，督促、指导施工单位按防治扬尘污染技术规范进行施工。当空气质量达到重度污染或出现四级及以上大风天气时，建筑工地不得进行土方作业，且需进行洒水抑尘、冲洗地面和覆网防尘。</w:t>
      </w:r>
    </w:p>
    <w:p w14:paraId="1851763D">
      <w:pPr>
        <w:pStyle w:val="27"/>
        <w:ind w:left="0" w:leftChars="0" w:firstLine="640"/>
        <w:contextualSpacing/>
        <w:rPr>
          <w:rFonts w:ascii="仿宋" w:hAnsi="仿宋" w:eastAsia="仿宋" w:cs="仿宋"/>
          <w:sz w:val="32"/>
          <w:szCs w:val="32"/>
        </w:rPr>
      </w:pPr>
      <w:r>
        <w:rPr>
          <w:rFonts w:hint="eastAsia" w:ascii="仿宋" w:hAnsi="仿宋" w:eastAsia="仿宋" w:cs="仿宋"/>
          <w:sz w:val="32"/>
          <w:szCs w:val="32"/>
        </w:rPr>
        <w:t>控制道路扬尘污染。通过道路晴天定时洒水，提高市区道路机械清扫率，推广高压冲洗与机扫联合作业模式，实施道路保洁“以克论净”，雁塔区主次干道大道5克/平方米•天，鼓励使用中水等进行路面冲洗作业，做到城市道路无明显可见积尘，路面应见本色，减轻道路扬尘污染。全面开展县、乡道路抑制扬尘整治活动。加强渣土执法，强化应急清理，根据实际情况着重加密泥头车运输路线及大型土石方工地等周边市政道路的冲洗频次。同时,加强城市绿化和路面硬化，减少城市裸露路面，减轻二次扬尘。</w:t>
      </w:r>
    </w:p>
    <w:p w14:paraId="1C6B231A">
      <w:pPr>
        <w:pStyle w:val="27"/>
        <w:spacing w:after="0"/>
        <w:ind w:left="0" w:leftChars="0" w:firstLine="640"/>
        <w:contextualSpacing/>
        <w:rPr>
          <w:rFonts w:ascii="仿宋" w:hAnsi="仿宋" w:eastAsia="仿宋" w:cs="仿宋"/>
        </w:rPr>
      </w:pPr>
      <w:r>
        <w:rPr>
          <w:rFonts w:hint="eastAsia" w:ascii="仿宋" w:hAnsi="仿宋" w:eastAsia="仿宋" w:cs="仿宋"/>
          <w:sz w:val="32"/>
          <w:szCs w:val="32"/>
        </w:rPr>
        <w:t>裸露土地复绿。对需要复绿的施工裸露土地等地点的总数、已完成数、待完成数等进行全面调查。</w:t>
      </w:r>
    </w:p>
    <w:p w14:paraId="76BEBEB7">
      <w:pPr>
        <w:pStyle w:val="4"/>
        <w:spacing w:line="560" w:lineRule="exact"/>
        <w:ind w:firstLine="0" w:firstLineChars="0"/>
        <w:jc w:val="center"/>
        <w:rPr>
          <w:rFonts w:ascii="仿宋" w:hAnsi="仿宋" w:cs="仿宋"/>
          <w:bCs w:val="0"/>
          <w:sz w:val="32"/>
        </w:rPr>
      </w:pPr>
      <w:bookmarkStart w:id="210" w:name="_Toc101253373"/>
      <w:r>
        <w:rPr>
          <w:rFonts w:hint="eastAsia" w:ascii="仿宋" w:hAnsi="仿宋" w:cs="仿宋"/>
          <w:bCs w:val="0"/>
          <w:sz w:val="32"/>
        </w:rPr>
        <w:t>第四节  全面管控面源污染</w:t>
      </w:r>
      <w:bookmarkEnd w:id="210"/>
    </w:p>
    <w:p w14:paraId="5B2ABAC0">
      <w:pPr>
        <w:adjustRightInd w:val="0"/>
        <w:ind w:firstLine="640" w:firstLineChars="200"/>
        <w:rPr>
          <w:rFonts w:ascii="仿宋" w:hAnsi="仿宋" w:eastAsia="仿宋" w:cs="仿宋"/>
          <w:kern w:val="0"/>
          <w:sz w:val="32"/>
          <w:szCs w:val="32"/>
        </w:rPr>
      </w:pPr>
      <w:r>
        <w:rPr>
          <w:rFonts w:hint="eastAsia" w:ascii="仿宋" w:hAnsi="仿宋" w:eastAsia="仿宋" w:cs="仿宋"/>
          <w:kern w:val="0"/>
          <w:sz w:val="32"/>
          <w:szCs w:val="32"/>
        </w:rPr>
        <w:t>全面控制VOCs无组织排放。贯彻落实国家《重点行业挥发性有机物综合治理方案》，开展重点行业工业企业挥发性有机物无组织治理工作。全面加强含VOCs物料存储、转移和输送、设备与管线组件泄露、敞开液面逸散以及工艺过程等五类排放源VOCs管控。</w:t>
      </w:r>
    </w:p>
    <w:p w14:paraId="25B21B3E">
      <w:pPr>
        <w:adjustRightInd w:val="0"/>
        <w:ind w:firstLine="640" w:firstLineChars="200"/>
        <w:rPr>
          <w:rFonts w:ascii="仿宋" w:hAnsi="仿宋" w:eastAsia="仿宋" w:cs="仿宋"/>
        </w:rPr>
      </w:pPr>
      <w:r>
        <w:rPr>
          <w:rFonts w:hint="eastAsia" w:ascii="仿宋" w:hAnsi="仿宋" w:eastAsia="仿宋" w:cs="仿宋"/>
          <w:sz w:val="32"/>
          <w:szCs w:val="32"/>
        </w:rPr>
        <w:t>强化监督管理，确保储油库、加油站油气回收装置正常运行。开展无组织废气排放情况监测；制定无组织排放整治方案并启动实施，严格杜绝生产过程中“跑、冒、滴、漏”现象。</w:t>
      </w:r>
    </w:p>
    <w:p w14:paraId="33D7CE5B">
      <w:pPr>
        <w:adjustRightInd w:val="0"/>
        <w:ind w:firstLine="640" w:firstLineChars="200"/>
        <w:rPr>
          <w:rFonts w:ascii="仿宋" w:hAnsi="仿宋" w:eastAsia="仿宋" w:cs="仿宋"/>
          <w:sz w:val="32"/>
          <w:szCs w:val="32"/>
        </w:rPr>
      </w:pPr>
      <w:r>
        <w:rPr>
          <w:rFonts w:hint="eastAsia" w:ascii="仿宋" w:hAnsi="仿宋" w:eastAsia="仿宋" w:cs="仿宋"/>
          <w:sz w:val="32"/>
          <w:szCs w:val="32"/>
          <w:lang w:bidi="zh-CN"/>
        </w:rPr>
        <w:t>强化餐饮油烟整治。合理优化餐饮场所布局，开展规模以上餐饮业油烟污染整治和小餐饮企业专项整治。餐饮企业和单位食堂，应当配备高效油烟净化设施并做好定期维护保养，实现达标排放，推动餐饮企业规范化、有序化。</w:t>
      </w:r>
      <w:r>
        <w:rPr>
          <w:rFonts w:hint="eastAsia" w:ascii="仿宋" w:hAnsi="仿宋" w:eastAsia="仿宋" w:cs="仿宋"/>
          <w:sz w:val="32"/>
          <w:szCs w:val="32"/>
        </w:rPr>
        <w:t>全面规范治理露天烧烤污染，三环内涉油烟排放餐饮单位全部进店经营。</w:t>
      </w:r>
    </w:p>
    <w:p w14:paraId="48171192">
      <w:pPr>
        <w:pStyle w:val="27"/>
        <w:spacing w:after="0"/>
        <w:ind w:left="0" w:leftChars="0" w:firstLine="640"/>
        <w:contextualSpacing/>
        <w:rPr>
          <w:rFonts w:ascii="仿宋" w:hAnsi="仿宋" w:eastAsia="仿宋" w:cs="仿宋"/>
          <w:sz w:val="32"/>
          <w:szCs w:val="32"/>
        </w:rPr>
      </w:pPr>
      <w:r>
        <w:rPr>
          <w:rFonts w:hint="eastAsia" w:ascii="仿宋" w:hAnsi="仿宋" w:eastAsia="仿宋" w:cs="仿宋"/>
          <w:sz w:val="32"/>
          <w:szCs w:val="32"/>
        </w:rPr>
        <w:t>落实市级部门制定的绿色生态停车场建设及改造提升方案，减少露天停放车辆因暴晒产生的挥发性有机物。2021年起，新建公共停车场、道路运输场站、渣土车辆停放地需达到标准要求。对现有露天停车场实施提升改造，并持续抓好停车场改造工作。2025年底前全面完成。</w:t>
      </w:r>
    </w:p>
    <w:p w14:paraId="35C475BF">
      <w:pPr>
        <w:ind w:firstLine="640" w:firstLineChars="200"/>
        <w:rPr>
          <w:rFonts w:ascii="仿宋" w:hAnsi="仿宋" w:eastAsia="仿宋" w:cs="仿宋"/>
          <w:sz w:val="32"/>
          <w:szCs w:val="32"/>
        </w:rPr>
      </w:pPr>
      <w:r>
        <w:rPr>
          <w:rFonts w:hint="eastAsia" w:ascii="仿宋" w:hAnsi="仿宋" w:eastAsia="仿宋" w:cs="仿宋"/>
          <w:sz w:val="32"/>
          <w:szCs w:val="32"/>
        </w:rPr>
        <w:t>全区禁止石材、木材露天切割、打磨。</w:t>
      </w:r>
    </w:p>
    <w:p w14:paraId="1BE55E42">
      <w:pPr>
        <w:adjustRightInd w:val="0"/>
        <w:ind w:firstLine="640" w:firstLineChars="200"/>
      </w:pPr>
      <w:r>
        <w:rPr>
          <w:rFonts w:hint="eastAsia" w:ascii="仿宋" w:hAnsi="仿宋" w:eastAsia="仿宋" w:cs="仿宋"/>
          <w:sz w:val="32"/>
          <w:szCs w:val="32"/>
        </w:rPr>
        <w:t>严控露天焚烧和不文明祭扫行为，严防因露天焚烧造成区域性重污染天气。</w:t>
      </w:r>
    </w:p>
    <w:p w14:paraId="30D5AE5A">
      <w:pPr>
        <w:pStyle w:val="27"/>
        <w:spacing w:after="0"/>
        <w:ind w:left="0" w:leftChars="0" w:firstLine="640"/>
        <w:contextualSpacing/>
        <w:rPr>
          <w:rFonts w:ascii="仿宋" w:hAnsi="仿宋" w:eastAsia="仿宋" w:cs="仿宋"/>
          <w:sz w:val="32"/>
          <w:szCs w:val="32"/>
        </w:rPr>
      </w:pPr>
      <w:r>
        <w:rPr>
          <w:rFonts w:hint="eastAsia" w:ascii="仿宋" w:hAnsi="仿宋" w:eastAsia="仿宋" w:cs="仿宋"/>
          <w:sz w:val="32"/>
          <w:szCs w:val="32"/>
        </w:rPr>
        <w:t>全面清理取缔全区再生资源回收体系外的废品收购站。依据规划开展再生资源回收体系建设工作；对辖区内再生资源回收体系外的废品收购站，发现一处取缔一处，并及时报送情况；将再生资源回收体系外废品收购站摸排纳入铁腕治霾网格员职责范围。</w:t>
      </w:r>
    </w:p>
    <w:p w14:paraId="019A6013">
      <w:pPr>
        <w:pStyle w:val="4"/>
        <w:spacing w:line="560" w:lineRule="exact"/>
        <w:ind w:firstLine="0" w:firstLineChars="0"/>
        <w:jc w:val="center"/>
        <w:rPr>
          <w:rFonts w:ascii="仿宋" w:hAnsi="仿宋" w:cs="仿宋"/>
          <w:bCs w:val="0"/>
          <w:sz w:val="32"/>
        </w:rPr>
      </w:pPr>
      <w:bookmarkStart w:id="211" w:name="_Toc101253374"/>
      <w:r>
        <w:rPr>
          <w:rFonts w:hint="eastAsia" w:ascii="仿宋" w:hAnsi="仿宋" w:cs="仿宋"/>
          <w:bCs w:val="0"/>
          <w:sz w:val="32"/>
        </w:rPr>
        <w:t>第五节  积极应对重污染天气</w:t>
      </w:r>
      <w:bookmarkEnd w:id="211"/>
    </w:p>
    <w:p w14:paraId="7E519B75">
      <w:pPr>
        <w:pStyle w:val="27"/>
        <w:spacing w:after="0"/>
        <w:ind w:left="0" w:leftChars="0" w:firstLine="640"/>
        <w:contextualSpacing/>
        <w:rPr>
          <w:rFonts w:ascii="仿宋" w:hAnsi="仿宋" w:eastAsia="仿宋" w:cs="仿宋"/>
          <w:sz w:val="32"/>
          <w:szCs w:val="32"/>
        </w:rPr>
      </w:pPr>
      <w:r>
        <w:rPr>
          <w:rFonts w:hint="eastAsia" w:ascii="仿宋" w:hAnsi="仿宋" w:eastAsia="仿宋" w:cs="仿宋"/>
          <w:sz w:val="32"/>
          <w:szCs w:val="32"/>
        </w:rPr>
        <w:t>深化重污染天气绩效分级管控。健全污染天气预警应急启动、响应和解除机制，加强与周边地区的联防联控。推进重点行业绩效分级管理，鼓励引导企业自主升级，整体提升工业企业污染防治水平。完善重点污染源在线监控、环保用电工况监控、扬尘在线监控、烟火监控、无人机监控等空气质量监控体系，实现精准管控。</w:t>
      </w:r>
    </w:p>
    <w:p w14:paraId="0E19062C">
      <w:pPr>
        <w:pStyle w:val="27"/>
        <w:spacing w:after="0"/>
        <w:ind w:left="0" w:leftChars="0" w:firstLine="640"/>
        <w:contextualSpacing/>
        <w:rPr>
          <w:rFonts w:ascii="仿宋" w:hAnsi="仿宋" w:eastAsia="仿宋" w:cs="仿宋"/>
          <w:sz w:val="32"/>
          <w:szCs w:val="32"/>
        </w:rPr>
      </w:pPr>
      <w:r>
        <w:rPr>
          <w:rFonts w:hint="eastAsia" w:ascii="仿宋" w:hAnsi="仿宋" w:eastAsia="仿宋" w:cs="仿宋"/>
          <w:sz w:val="32"/>
          <w:szCs w:val="32"/>
        </w:rPr>
        <w:t>强化企业《重污染天气“一厂一策”应急操作方案》的编制、修编及落实情况。加强预防预报，开展提前应急管控，细化完善应急减排清单，落实各项应急减排措施，提升应急管控能力水平。</w:t>
      </w:r>
    </w:p>
    <w:p w14:paraId="4BABDB31">
      <w:pPr>
        <w:pStyle w:val="4"/>
        <w:spacing w:line="560" w:lineRule="exact"/>
        <w:ind w:firstLine="0" w:firstLineChars="0"/>
        <w:jc w:val="center"/>
        <w:rPr>
          <w:rFonts w:ascii="仿宋" w:hAnsi="仿宋" w:cs="仿宋"/>
          <w:bCs w:val="0"/>
          <w:sz w:val="32"/>
        </w:rPr>
      </w:pPr>
      <w:bookmarkStart w:id="212" w:name="_Toc101253375"/>
      <w:r>
        <w:rPr>
          <w:rFonts w:hint="eastAsia" w:ascii="仿宋" w:hAnsi="仿宋" w:cs="仿宋"/>
          <w:bCs w:val="0"/>
          <w:sz w:val="32"/>
        </w:rPr>
        <w:t>第六节  加强噪声污染防治</w:t>
      </w:r>
      <w:bookmarkEnd w:id="212"/>
    </w:p>
    <w:p w14:paraId="1E83E6A8">
      <w:pPr>
        <w:ind w:firstLine="640" w:firstLineChars="200"/>
        <w:rPr>
          <w:rFonts w:ascii="仿宋" w:hAnsi="仿宋" w:eastAsia="仿宋" w:cs="仿宋"/>
        </w:rPr>
      </w:pPr>
      <w:r>
        <w:rPr>
          <w:rFonts w:hint="eastAsia" w:ascii="仿宋" w:hAnsi="仿宋" w:eastAsia="仿宋" w:cs="仿宋"/>
          <w:sz w:val="32"/>
          <w:szCs w:val="32"/>
        </w:rPr>
        <w:t>生产和施工噪声污染防治。合理规划和调整生产空间布局，强化居民集中区工业生产项目的新建、改建、扩建的环境影响评价审批，加强工业企业噪声污染防治，降噪整改位于人口密集区噪声污染严重的噪声源。严格执行建筑工程排污申报制度，建成区夜间禁止高噪声施工作业，鼓励使用低噪声施工机械及工艺，单位降噪措施的落实情况、群众环境投诉、违规施工处罚等与文明工地评选、建筑施工企业综合诚信评价等挂钩。</w:t>
      </w:r>
    </w:p>
    <w:p w14:paraId="4876BDFC">
      <w:pPr>
        <w:pStyle w:val="27"/>
        <w:spacing w:after="0"/>
        <w:ind w:left="0" w:leftChars="0" w:firstLine="640"/>
        <w:contextualSpacing/>
        <w:rPr>
          <w:rFonts w:ascii="仿宋" w:hAnsi="仿宋" w:eastAsia="仿宋" w:cs="仿宋"/>
        </w:rPr>
      </w:pPr>
      <w:r>
        <w:rPr>
          <w:rFonts w:hint="eastAsia" w:ascii="仿宋" w:hAnsi="仿宋" w:eastAsia="仿宋" w:cs="仿宋"/>
          <w:sz w:val="32"/>
          <w:szCs w:val="32"/>
        </w:rPr>
        <w:t>交通噪声污染防治。加强机动车噪声污染监管，实行道路网格化管理，按照“闹静分隔、功能分区”理念，进一步优化建成区机动车禁鸣路段的划定。在敏感区域、交通干线及群众投诉强烈的路段，采取路面降噪改造、增设隔声屏障等措施，减小交通噪声污染。</w:t>
      </w:r>
    </w:p>
    <w:p w14:paraId="3E40BD52">
      <w:pPr>
        <w:pStyle w:val="27"/>
        <w:spacing w:after="0"/>
        <w:ind w:left="0" w:leftChars="0" w:firstLine="640"/>
        <w:contextualSpacing/>
        <w:rPr>
          <w:rFonts w:ascii="仿宋" w:hAnsi="仿宋" w:eastAsia="仿宋" w:cs="仿宋"/>
          <w:b/>
          <w:sz w:val="32"/>
          <w:szCs w:val="32"/>
        </w:rPr>
      </w:pPr>
      <w:r>
        <w:rPr>
          <w:rFonts w:hint="eastAsia" w:ascii="仿宋" w:hAnsi="仿宋" w:eastAsia="仿宋" w:cs="仿宋"/>
          <w:sz w:val="32"/>
          <w:szCs w:val="32"/>
        </w:rPr>
        <w:t>社会生活噪声管制。扩大噪声专项整治工作的实施范围，建立社会噪声统一管理机制，控制社会噪声传播途径，重点解决广场舞噪声问题，按《城市区域环境噪声标准》要求，具体划定不同区域适用的标准种类，同时在醒目位置公示明确标准种类昼间、夜间的具体时间范围，规范广场舞噪音要求，并正确引导提升广场舞参与者的公德意识。加强宣传教育，提高居民声环境保护意识，减少居民区房屋装修、家庭娱乐等活动对周边居民的噪声污染。</w:t>
      </w:r>
    </w:p>
    <w:p w14:paraId="46C32AEE">
      <w:pPr>
        <w:rPr>
          <w:rFonts w:ascii="仿宋" w:hAnsi="仿宋" w:eastAsia="仿宋" w:cs="仿宋"/>
          <w:b/>
          <w:sz w:val="32"/>
          <w:szCs w:val="32"/>
        </w:rPr>
      </w:pPr>
      <w:bookmarkStart w:id="213" w:name="_Toc101253376"/>
      <w:r>
        <w:rPr>
          <w:rFonts w:hint="eastAsia" w:ascii="仿宋" w:hAnsi="仿宋" w:eastAsia="仿宋" w:cs="仿宋"/>
          <w:b/>
          <w:sz w:val="32"/>
          <w:szCs w:val="32"/>
        </w:rPr>
        <w:br w:type="page"/>
      </w:r>
    </w:p>
    <w:p w14:paraId="3AD811AC">
      <w:pPr>
        <w:adjustRightInd w:val="0"/>
        <w:snapToGrid w:val="0"/>
        <w:jc w:val="center"/>
        <w:outlineLvl w:val="0"/>
        <w:rPr>
          <w:rFonts w:ascii="仿宋" w:hAnsi="仿宋" w:eastAsia="仿宋" w:cs="仿宋"/>
          <w:b/>
          <w:sz w:val="32"/>
          <w:szCs w:val="32"/>
        </w:rPr>
      </w:pPr>
      <w:r>
        <w:rPr>
          <w:rFonts w:hint="eastAsia" w:ascii="仿宋" w:hAnsi="仿宋" w:eastAsia="仿宋" w:cs="仿宋"/>
          <w:b/>
          <w:sz w:val="32"/>
          <w:szCs w:val="32"/>
        </w:rPr>
        <w:t>第五章  深化三水统筹，提升水生态环境质量</w:t>
      </w:r>
      <w:bookmarkEnd w:id="213"/>
    </w:p>
    <w:p w14:paraId="1B0F5834">
      <w:pPr>
        <w:ind w:firstLine="640" w:firstLineChars="200"/>
        <w:rPr>
          <w:rFonts w:ascii="仿宋" w:hAnsi="仿宋" w:eastAsia="仿宋" w:cs="仿宋"/>
          <w:sz w:val="32"/>
          <w:szCs w:val="32"/>
        </w:rPr>
      </w:pPr>
      <w:r>
        <w:rPr>
          <w:rFonts w:hint="eastAsia" w:ascii="仿宋" w:hAnsi="仿宋" w:eastAsia="仿宋" w:cs="仿宋"/>
          <w:sz w:val="32"/>
          <w:szCs w:val="32"/>
        </w:rPr>
        <w:t>为深入贯彻习近平总书记来陕考察重要讲话重要指示精神，统筹推进《西安市推进绿色发展建设生态西安实施方案》（市字〔2020〕7号）、《全域治水碧水兴城西安市河湖水系保护治理三年行动方案（2019—2021年）》（市办字〔2020〕19号）和《西安市水污染防治工作方案》（市政办发〔2016〕64号），按照《西安市碧水保卫战2020年工作方案》（市政办发〔2020〕27号）要求，结合雁塔区水生态环境保护工作实际，以水生态环境质量改善为核心，污染减排与生态扩容两手发力，统筹水资源利用、水生态保护和水环境治理，提升河流生态质量。</w:t>
      </w:r>
    </w:p>
    <w:p w14:paraId="17681AAF">
      <w:pPr>
        <w:pStyle w:val="4"/>
        <w:spacing w:line="560" w:lineRule="exact"/>
        <w:ind w:firstLine="0" w:firstLineChars="0"/>
        <w:jc w:val="center"/>
        <w:rPr>
          <w:rFonts w:ascii="仿宋" w:hAnsi="仿宋" w:cs="仿宋"/>
          <w:bCs w:val="0"/>
          <w:sz w:val="32"/>
        </w:rPr>
      </w:pPr>
      <w:bookmarkStart w:id="214" w:name="_Toc101253377"/>
      <w:r>
        <w:rPr>
          <w:rFonts w:hint="eastAsia" w:ascii="仿宋" w:hAnsi="仿宋" w:cs="仿宋"/>
          <w:bCs w:val="0"/>
          <w:sz w:val="32"/>
        </w:rPr>
        <w:t>第一节  巩固提升城市水环境</w:t>
      </w:r>
      <w:bookmarkEnd w:id="214"/>
    </w:p>
    <w:p w14:paraId="52453F39">
      <w:pPr>
        <w:ind w:firstLine="640" w:firstLineChars="200"/>
        <w:rPr>
          <w:rFonts w:ascii="仿宋" w:hAnsi="仿宋" w:eastAsia="仿宋" w:cs="仿宋"/>
          <w:sz w:val="32"/>
          <w:szCs w:val="32"/>
        </w:rPr>
      </w:pPr>
      <w:r>
        <w:rPr>
          <w:rFonts w:hint="eastAsia" w:ascii="仿宋" w:hAnsi="仿宋" w:eastAsia="仿宋" w:cs="仿宋"/>
          <w:sz w:val="32"/>
          <w:szCs w:val="32"/>
        </w:rPr>
        <w:t>巩固水环境治理成效。巩固消除黑臭水体工作成效，密切关注已治水体后续水质恢复情况，建立预警、管护、提升三维一体的长效管理体系，对已基本完成整治城市建成区黑臭水体加强保护，定期开展“回头看”，实现黑臭水体长制久清，严防已治河段返黑返臭。持续开展城市黑臭水体排查，城市建成区如发现新增黑臭水体，立即组织力量开展整治。加大生态环境执法力度，严厉打击环境违法行为。完成雁塔区河流断面市级水质自动监测站的调试，加强维护管理，确保运行正常。</w:t>
      </w:r>
    </w:p>
    <w:p w14:paraId="1867D7A0">
      <w:pPr>
        <w:ind w:firstLine="640" w:firstLineChars="200"/>
        <w:rPr>
          <w:rFonts w:ascii="仿宋" w:hAnsi="仿宋" w:eastAsia="仿宋" w:cs="仿宋"/>
          <w:sz w:val="32"/>
          <w:szCs w:val="32"/>
        </w:rPr>
      </w:pPr>
      <w:r>
        <w:rPr>
          <w:rFonts w:hint="eastAsia" w:ascii="仿宋" w:hAnsi="仿宋" w:eastAsia="仿宋" w:cs="仿宋"/>
          <w:sz w:val="32"/>
          <w:szCs w:val="32"/>
        </w:rPr>
        <w:t>持续改善水环境质量。持续推动皂河专项整治计划实施方案，加快推进皂河雁塔段水系保护治理工作。紧盯问题断面，督促各责任单位对没有达到水质目标要求的水体，制定实施“一断一策”水体达标方案，不断提升河湖水质，确保皂河雁塔段2025年水质稳定达到地表水</w:t>
      </w:r>
      <w:r>
        <w:rPr>
          <w:rFonts w:hint="eastAsia" w:ascii="仿宋" w:hAnsi="仿宋" w:eastAsia="仿宋" w:cs="仿宋"/>
        </w:rPr>
        <w:fldChar w:fldCharType="begin"/>
      </w:r>
      <w:r>
        <w:rPr>
          <w:rFonts w:hint="eastAsia" w:ascii="仿宋" w:hAnsi="仿宋" w:eastAsia="仿宋" w:cs="仿宋"/>
          <w:sz w:val="32"/>
          <w:szCs w:val="32"/>
        </w:rPr>
        <w:instrText xml:space="preserve"> = 4 \* ROMAN </w:instrText>
      </w:r>
      <w:r>
        <w:rPr>
          <w:rFonts w:hint="eastAsia" w:ascii="仿宋" w:hAnsi="仿宋" w:eastAsia="仿宋" w:cs="仿宋"/>
        </w:rPr>
        <w:fldChar w:fldCharType="separate"/>
      </w:r>
      <w:r>
        <w:rPr>
          <w:rFonts w:hint="eastAsia" w:ascii="仿宋" w:hAnsi="仿宋" w:eastAsia="仿宋" w:cs="仿宋"/>
          <w:sz w:val="32"/>
          <w:szCs w:val="32"/>
        </w:rPr>
        <w:t>IV</w:t>
      </w:r>
      <w:r>
        <w:rPr>
          <w:rFonts w:hint="eastAsia" w:ascii="仿宋" w:hAnsi="仿宋" w:eastAsia="仿宋" w:cs="仿宋"/>
        </w:rPr>
        <w:fldChar w:fldCharType="end"/>
      </w:r>
      <w:r>
        <w:rPr>
          <w:rFonts w:hint="eastAsia" w:ascii="仿宋" w:hAnsi="仿宋" w:eastAsia="仿宋" w:cs="仿宋"/>
          <w:sz w:val="32"/>
          <w:szCs w:val="32"/>
        </w:rPr>
        <w:t>类要求。</w:t>
      </w:r>
    </w:p>
    <w:p w14:paraId="6AACD784">
      <w:pPr>
        <w:pStyle w:val="4"/>
        <w:spacing w:line="560" w:lineRule="exact"/>
        <w:ind w:firstLine="0" w:firstLineChars="0"/>
        <w:jc w:val="center"/>
        <w:rPr>
          <w:rFonts w:ascii="仿宋" w:hAnsi="仿宋" w:cs="仿宋"/>
          <w:bCs w:val="0"/>
          <w:sz w:val="32"/>
        </w:rPr>
      </w:pPr>
      <w:bookmarkStart w:id="215" w:name="_Toc101253378"/>
      <w:r>
        <w:rPr>
          <w:rFonts w:hint="eastAsia" w:ascii="仿宋" w:hAnsi="仿宋" w:cs="仿宋"/>
          <w:bCs w:val="0"/>
          <w:sz w:val="32"/>
        </w:rPr>
        <w:t>第二节  深入推进水污染治理</w:t>
      </w:r>
      <w:bookmarkEnd w:id="215"/>
    </w:p>
    <w:p w14:paraId="0BE25403">
      <w:pPr>
        <w:adjustRightInd w:val="0"/>
        <w:ind w:firstLine="640" w:firstLineChars="200"/>
        <w:rPr>
          <w:rFonts w:ascii="仿宋" w:hAnsi="仿宋" w:eastAsia="仿宋" w:cs="仿宋"/>
          <w:sz w:val="32"/>
          <w:szCs w:val="32"/>
        </w:rPr>
      </w:pPr>
      <w:r>
        <w:rPr>
          <w:rFonts w:hint="eastAsia" w:ascii="仿宋" w:hAnsi="仿宋" w:eastAsia="仿宋" w:cs="仿宋"/>
          <w:sz w:val="32"/>
          <w:szCs w:val="32"/>
        </w:rPr>
        <w:t>深化入河排污口专项整治。持续推进入河排污口排查工作。制定排污口排查整治方案。完善入河排污口清单。组织开展重点入河排污口监测与溯源分析，完成入河排污口整治。持续开展全区入河排污口调查工作，完善入河排污口管理台账，逐步建立入河排污口规范化监管机制。按照西安市生态环境局的统一部署，重点开展皂河的排污口排查工作。在监测溯源的基础上，坚持问题导向，因地制宜，逐步推进入河排污口分类整治。</w:t>
      </w:r>
    </w:p>
    <w:p w14:paraId="0332854D">
      <w:pPr>
        <w:adjustRightInd w:val="0"/>
        <w:ind w:firstLine="640" w:firstLineChars="200"/>
        <w:rPr>
          <w:rFonts w:ascii="仿宋" w:hAnsi="仿宋" w:eastAsia="仿宋" w:cs="仿宋"/>
          <w:sz w:val="32"/>
          <w:szCs w:val="32"/>
        </w:rPr>
      </w:pPr>
      <w:r>
        <w:rPr>
          <w:rFonts w:hint="eastAsia" w:ascii="仿宋" w:hAnsi="仿宋" w:eastAsia="仿宋" w:cs="仿宋"/>
          <w:sz w:val="32"/>
          <w:szCs w:val="32"/>
        </w:rPr>
        <w:t>完善市政管网建设和雨污分流改造。全面开展污水管网的摸底普查工作，加快推进城中村等排水管网建设任务，强化城中村、老旧城区和城乡结合部污水截流、收集，完成雨污管网建设总工程量的70%。“十四五”期末完成全区雨污管道混接错接点的分流改造，做到发现一处、改造一处；修订零直排小区创建活动方案，加快污水零直排小区创建活动；加强城市排水设施运行管理，确保城市排水设施完好并正常运行。杜绝非雨天污水直排入河。新建污水处理设施的配套管网应同步设计、同步建设、同步投运。城镇新区建设应实行雨污分流，有条件的地区要推进初期雨水收集、处理和资源化利用。到2025年，基本实现生活污水全收集、全处理。</w:t>
      </w:r>
    </w:p>
    <w:p w14:paraId="73AB6030">
      <w:pPr>
        <w:adjustRightInd w:val="0"/>
        <w:ind w:firstLine="640" w:firstLineChars="200"/>
        <w:rPr>
          <w:rFonts w:ascii="仿宋" w:hAnsi="仿宋" w:eastAsia="仿宋" w:cs="仿宋"/>
          <w:sz w:val="32"/>
          <w:szCs w:val="32"/>
        </w:rPr>
      </w:pPr>
      <w:r>
        <w:rPr>
          <w:rFonts w:hint="eastAsia" w:ascii="仿宋" w:hAnsi="仿宋" w:eastAsia="仿宋" w:cs="仿宋"/>
          <w:sz w:val="32"/>
          <w:szCs w:val="32"/>
        </w:rPr>
        <w:t>提升水污染防治水平。完善城镇排污基础设施，提高污水集中收集效能。针对城镇污水处理厂运行问题，制定实施“一厂一策”系统化治理方案。加强对污水处理厂尤其是鱼化污水处理厂的监督检查，确保水质达标排放。加快齐王污水处理厂建设进度，积极实施辖区雨污水调配工程。推进鱼化污水处理厂、西安市第二污水处理厂二期水质提标改造工程建设，确保出水水质达到《陕西省黄河流域污水综合排放标准》（DB61/224—2018）要求。到2025年底，全区污水处理率分别达到100%。优先选用资源化利用等技术，加快污泥无害化、资源化处置设施建设，2025年底污泥无害化处置率达到95%以上。</w:t>
      </w:r>
    </w:p>
    <w:p w14:paraId="160E835B">
      <w:pPr>
        <w:ind w:firstLine="640" w:firstLineChars="200"/>
        <w:rPr>
          <w:rFonts w:ascii="仿宋" w:hAnsi="仿宋" w:eastAsia="仿宋" w:cs="仿宋"/>
          <w:sz w:val="32"/>
          <w:szCs w:val="32"/>
        </w:rPr>
      </w:pPr>
      <w:r>
        <w:rPr>
          <w:rFonts w:hint="eastAsia" w:ascii="仿宋" w:hAnsi="仿宋" w:eastAsia="仿宋" w:cs="仿宋"/>
          <w:sz w:val="32"/>
          <w:szCs w:val="32"/>
        </w:rPr>
        <w:t>深化黑臭水体排查整治。落实皂河雁塔段、沣惠渠二干渠雁塔段“一河一策”方案，综合采取控源截污、垃圾清理、清淤疏浚、生态修复以及活水循环等措施。引入第三方评估机构，全程参与整治方案制定、工程实施、监测机构选择等工作，协助政府完成水体整治效果的评估工作；同时，为避免水体整治出现周期性反复即或治理后的水体又恢复到黑臭状况的出现，应建立长效机制，保障治理效果的持续性。</w:t>
      </w:r>
    </w:p>
    <w:p w14:paraId="7C1849AC">
      <w:pPr>
        <w:pStyle w:val="4"/>
        <w:spacing w:line="560" w:lineRule="exact"/>
        <w:ind w:firstLine="0" w:firstLineChars="0"/>
        <w:jc w:val="center"/>
        <w:rPr>
          <w:rFonts w:ascii="仿宋" w:hAnsi="仿宋" w:cs="仿宋"/>
          <w:bCs w:val="0"/>
          <w:sz w:val="32"/>
        </w:rPr>
      </w:pPr>
      <w:bookmarkStart w:id="216" w:name="_Toc101253379"/>
      <w:r>
        <w:rPr>
          <w:rFonts w:hint="eastAsia" w:ascii="仿宋" w:hAnsi="仿宋" w:cs="仿宋"/>
          <w:bCs w:val="0"/>
          <w:sz w:val="32"/>
        </w:rPr>
        <w:t>第三节  深化工业集聚区管理</w:t>
      </w:r>
      <w:bookmarkEnd w:id="216"/>
    </w:p>
    <w:p w14:paraId="60F6FC7A">
      <w:pPr>
        <w:adjustRightInd w:val="0"/>
        <w:ind w:firstLine="640" w:firstLineChars="200"/>
        <w:rPr>
          <w:rFonts w:ascii="仿宋" w:hAnsi="仿宋" w:eastAsia="仿宋" w:cs="仿宋"/>
          <w:sz w:val="32"/>
          <w:szCs w:val="32"/>
        </w:rPr>
      </w:pPr>
      <w:r>
        <w:rPr>
          <w:rFonts w:hint="eastAsia" w:ascii="仿宋" w:hAnsi="仿宋" w:eastAsia="仿宋" w:cs="仿宋"/>
          <w:sz w:val="32"/>
          <w:szCs w:val="32"/>
        </w:rPr>
        <w:t>督促省级及以上工业集聚区污水集中处理设施规范运行，确保自动在线监控装置有效运维与联网。加强工业水循环利用，在工业集聚区铺设再生水利用管网，工业集聚区再生水利用率不低于30%。</w:t>
      </w:r>
    </w:p>
    <w:p w14:paraId="74146651">
      <w:pPr>
        <w:adjustRightInd w:val="0"/>
        <w:ind w:firstLine="640" w:firstLineChars="200"/>
        <w:rPr>
          <w:rFonts w:ascii="仿宋" w:hAnsi="仿宋" w:eastAsia="仿宋" w:cs="仿宋"/>
          <w:sz w:val="32"/>
          <w:szCs w:val="32"/>
        </w:rPr>
      </w:pPr>
      <w:r>
        <w:rPr>
          <w:rFonts w:hint="eastAsia" w:ascii="仿宋" w:hAnsi="仿宋" w:eastAsia="仿宋" w:cs="仿宋"/>
          <w:sz w:val="32"/>
          <w:szCs w:val="32"/>
        </w:rPr>
        <w:t>积极推动雁塔区内工业园区规划的实施，优化产业布局，加强重点行业治理，对重点行业强化深度治理和节水回用工程；严格落实产业结构调整政策，坚决取缔重污染行业、淘汰落后产能，严格把控企业准入。进一步强化对辖区涉水企业的执法检查力度，严肃查处污处设施不正常运行、超标排放等违法排污行为。</w:t>
      </w:r>
    </w:p>
    <w:p w14:paraId="53815CF7">
      <w:pPr>
        <w:ind w:firstLine="640" w:firstLineChars="200"/>
        <w:rPr>
          <w:rFonts w:ascii="仿宋" w:hAnsi="仿宋" w:eastAsia="仿宋" w:cs="仿宋"/>
          <w:sz w:val="32"/>
          <w:szCs w:val="32"/>
        </w:rPr>
      </w:pPr>
      <w:r>
        <w:rPr>
          <w:rFonts w:hint="eastAsia" w:ascii="仿宋" w:hAnsi="仿宋" w:eastAsia="仿宋" w:cs="仿宋"/>
          <w:sz w:val="32"/>
          <w:szCs w:val="32"/>
        </w:rPr>
        <w:t>推进工业水污染防治。推进工业园全面实现废水分流分治、深度处理工作进度，重点关注含重金属废水的预处理及达标排放情况。加强工业集聚区污染治理，强化工业废水深度处理。及时评估现有污水厂的纳污能力，应同步规划、建设污水集中处理污染治理设施。</w:t>
      </w:r>
    </w:p>
    <w:p w14:paraId="3C14715A">
      <w:pPr>
        <w:pStyle w:val="4"/>
        <w:spacing w:line="560" w:lineRule="exact"/>
        <w:ind w:firstLine="0" w:firstLineChars="0"/>
        <w:jc w:val="center"/>
        <w:rPr>
          <w:rFonts w:ascii="仿宋" w:hAnsi="仿宋" w:cs="仿宋"/>
          <w:bCs w:val="0"/>
          <w:sz w:val="32"/>
        </w:rPr>
      </w:pPr>
      <w:bookmarkStart w:id="217" w:name="_Toc101253380"/>
      <w:r>
        <w:rPr>
          <w:rFonts w:hint="eastAsia" w:ascii="仿宋" w:hAnsi="仿宋" w:cs="仿宋"/>
          <w:bCs w:val="0"/>
          <w:sz w:val="32"/>
        </w:rPr>
        <w:t>第四节  提升水资源利用水平</w:t>
      </w:r>
      <w:bookmarkEnd w:id="217"/>
    </w:p>
    <w:p w14:paraId="3ED18320">
      <w:pPr>
        <w:ind w:firstLine="640" w:firstLineChars="200"/>
        <w:jc w:val="left"/>
        <w:rPr>
          <w:rFonts w:ascii="仿宋" w:hAnsi="仿宋" w:eastAsia="仿宋" w:cs="仿宋"/>
          <w:sz w:val="32"/>
          <w:szCs w:val="32"/>
          <w:shd w:val="clear" w:color="auto" w:fill="FFFFFF"/>
          <w:lang w:val="zh-CN"/>
        </w:rPr>
      </w:pPr>
      <w:r>
        <w:rPr>
          <w:rFonts w:hint="eastAsia" w:ascii="仿宋" w:hAnsi="仿宋" w:eastAsia="仿宋" w:cs="仿宋"/>
          <w:sz w:val="32"/>
          <w:szCs w:val="32"/>
          <w:shd w:val="clear" w:color="auto" w:fill="FFFFFF"/>
          <w:lang w:val="zh-CN"/>
        </w:rPr>
        <w:t>优化水资源配置体系。控制用水总量，提高用水效率。雁塔区万元国内生产总值用水量、万元工业增加值用水量下降率均达到市级指标要求。加强江河湖库水量调度管理。优化配置水资源，采取闸坝联合调度、生态补水等措施，维持河湖基本生态用水需求。</w:t>
      </w:r>
    </w:p>
    <w:p w14:paraId="7529542A">
      <w:pPr>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val="zh-CN"/>
        </w:rPr>
        <w:t>调整优化高耗水行业结构和布局。以水定产，鼓励</w:t>
      </w:r>
      <w:r>
        <w:rPr>
          <w:rFonts w:hint="eastAsia" w:ascii="仿宋" w:hAnsi="仿宋" w:eastAsia="仿宋" w:cs="仿宋"/>
          <w:sz w:val="32"/>
          <w:szCs w:val="32"/>
          <w:shd w:val="clear" w:color="auto" w:fill="FFFFFF"/>
        </w:rPr>
        <w:t>节水型建筑在工业企业中水回用、冷却循环水系统等方面的使用，推广有成效的节水管理制度、节水措施。依法依规，持续淘汰落后产能，推进产业绿色发展。</w:t>
      </w:r>
      <w:r>
        <w:rPr>
          <w:rFonts w:hint="eastAsia" w:ascii="仿宋" w:hAnsi="仿宋" w:eastAsia="仿宋" w:cs="仿宋"/>
          <w:sz w:val="32"/>
          <w:szCs w:val="32"/>
          <w:shd w:val="clear" w:color="auto" w:fill="FFFFFF"/>
          <w:lang w:val="zh-CN"/>
        </w:rPr>
        <w:t>针对纳入取水许可管理的单位和其他用水大户实行计划用水管理，取、</w:t>
      </w:r>
      <w:r>
        <w:rPr>
          <w:rFonts w:hint="eastAsia" w:ascii="仿宋" w:hAnsi="仿宋" w:eastAsia="仿宋" w:cs="仿宋"/>
          <w:sz w:val="32"/>
          <w:szCs w:val="32"/>
        </w:rPr>
        <w:t>用水总量已达到或超过控制指标的，对其暂停审批建设项目新增取水许可。2025年底前，完成关闭公共供水管网覆盖范围内的自备水井，保护和涵养地下水资源，使辖区地下水水位逐年回升。</w:t>
      </w:r>
      <w:r>
        <w:rPr>
          <w:rFonts w:hint="eastAsia" w:ascii="仿宋" w:hAnsi="仿宋" w:eastAsia="仿宋" w:cs="仿宋"/>
          <w:sz w:val="32"/>
          <w:szCs w:val="32"/>
          <w:shd w:val="clear" w:color="auto" w:fill="FFFFFF"/>
          <w:lang w:val="zh-CN"/>
        </w:rPr>
        <w:t>节水型企业覆盖率不低于</w:t>
      </w:r>
      <w:r>
        <w:rPr>
          <w:rFonts w:hint="eastAsia" w:ascii="仿宋" w:hAnsi="仿宋" w:eastAsia="仿宋" w:cs="仿宋"/>
          <w:sz w:val="32"/>
          <w:szCs w:val="32"/>
          <w:shd w:val="clear" w:color="auto" w:fill="FFFFFF"/>
        </w:rPr>
        <w:t>15%，节水型单位覆盖率不低于10%。</w:t>
      </w:r>
    </w:p>
    <w:p w14:paraId="3EF8431E">
      <w:pPr>
        <w:ind w:firstLine="640" w:firstLineChars="200"/>
        <w:jc w:val="left"/>
        <w:rPr>
          <w:rFonts w:ascii="仿宋" w:hAnsi="仿宋" w:eastAsia="仿宋" w:cs="仿宋"/>
          <w:sz w:val="32"/>
          <w:szCs w:val="32"/>
          <w:shd w:val="clear" w:color="auto" w:fill="FFFFFF"/>
          <w:lang w:val="zh-CN"/>
        </w:rPr>
      </w:pPr>
      <w:r>
        <w:rPr>
          <w:rFonts w:hint="eastAsia" w:ascii="仿宋" w:hAnsi="仿宋" w:eastAsia="仿宋" w:cs="仿宋"/>
          <w:sz w:val="32"/>
          <w:szCs w:val="32"/>
          <w:shd w:val="clear" w:color="auto" w:fill="FFFFFF"/>
          <w:lang w:val="zh-CN"/>
        </w:rPr>
        <w:t>提高再生水利用率。推进再生水利用管网的铺设，完善城市再生水利用系统。在工业生产、城市绿化、道路清扫、车辆冲洗、建筑施工中提倡优先使用再生水。加大初期雨水收集处理设施的建设，</w:t>
      </w:r>
      <w:r>
        <w:rPr>
          <w:rFonts w:hint="eastAsia" w:ascii="仿宋" w:hAnsi="仿宋" w:eastAsia="仿宋" w:cs="仿宋"/>
          <w:sz w:val="32"/>
          <w:szCs w:val="32"/>
          <w:shd w:val="clear" w:color="auto" w:fill="FFFFFF"/>
        </w:rPr>
        <w:t>建设“滞、渗、蓄、用、排”相结合的雨水收集利用设施，</w:t>
      </w:r>
      <w:r>
        <w:rPr>
          <w:rFonts w:hint="eastAsia" w:ascii="仿宋" w:hAnsi="仿宋" w:eastAsia="仿宋" w:cs="仿宋"/>
          <w:sz w:val="32"/>
          <w:szCs w:val="32"/>
        </w:rPr>
        <w:t>促进再生水、雨水在各个使用方面向深度和广度发展</w:t>
      </w:r>
      <w:r>
        <w:rPr>
          <w:rFonts w:hint="eastAsia" w:ascii="仿宋" w:hAnsi="仿宋" w:eastAsia="仿宋" w:cs="仿宋"/>
          <w:sz w:val="32"/>
          <w:szCs w:val="32"/>
          <w:shd w:val="clear" w:color="auto" w:fill="FFFFFF"/>
          <w:lang w:val="zh-CN"/>
        </w:rPr>
        <w:t>。到</w:t>
      </w:r>
      <w:r>
        <w:rPr>
          <w:rFonts w:hint="eastAsia" w:ascii="仿宋" w:hAnsi="仿宋" w:eastAsia="仿宋" w:cs="仿宋"/>
          <w:sz w:val="32"/>
          <w:szCs w:val="32"/>
          <w:shd w:val="clear" w:color="auto" w:fill="FFFFFF"/>
        </w:rPr>
        <w:t>2023年底，城市再生水利用率（含补充湖池及湿地生态水）达到40%以上，</w:t>
      </w:r>
      <w:r>
        <w:rPr>
          <w:rFonts w:hint="eastAsia" w:ascii="仿宋" w:hAnsi="仿宋" w:eastAsia="仿宋" w:cs="仿宋"/>
          <w:sz w:val="32"/>
          <w:szCs w:val="32"/>
        </w:rPr>
        <w:t>到“十四五”末，城市再生水利用率（含补充湖池及湿地生态水）达到50%以上</w:t>
      </w:r>
      <w:r>
        <w:rPr>
          <w:rFonts w:hint="eastAsia" w:ascii="仿宋" w:hAnsi="仿宋" w:eastAsia="仿宋" w:cs="仿宋"/>
          <w:sz w:val="32"/>
          <w:szCs w:val="32"/>
          <w:shd w:val="clear" w:color="auto" w:fill="FFFFFF"/>
        </w:rPr>
        <w:t>，全力配合市上创建</w:t>
      </w:r>
      <w:r>
        <w:rPr>
          <w:rFonts w:hint="eastAsia" w:ascii="仿宋" w:hAnsi="仿宋" w:eastAsia="仿宋" w:cs="仿宋"/>
          <w:sz w:val="32"/>
          <w:szCs w:val="32"/>
          <w:shd w:val="clear" w:color="auto" w:fill="FFFFFF"/>
          <w:lang w:val="zh-CN"/>
        </w:rPr>
        <w:t>国家节水型城市。</w:t>
      </w:r>
      <w:r>
        <w:rPr>
          <w:rFonts w:hint="eastAsia" w:ascii="仿宋" w:hAnsi="仿宋" w:eastAsia="仿宋" w:cs="仿宋"/>
          <w:sz w:val="32"/>
          <w:szCs w:val="32"/>
        </w:rPr>
        <w:t>全市公共供水管网漏损率控制在10%以内；达到国家节水型城市标准要求。</w:t>
      </w:r>
    </w:p>
    <w:p w14:paraId="606A8A83">
      <w:pPr>
        <w:adjustRightInd w:val="0"/>
        <w:spacing w:line="550" w:lineRule="exact"/>
        <w:jc w:val="center"/>
        <w:outlineLvl w:val="0"/>
        <w:rPr>
          <w:rFonts w:ascii="仿宋" w:hAnsi="仿宋" w:eastAsia="仿宋" w:cs="仿宋"/>
          <w:b/>
          <w:sz w:val="32"/>
          <w:szCs w:val="32"/>
        </w:rPr>
      </w:pPr>
      <w:r>
        <w:rPr>
          <w:rFonts w:hint="eastAsia" w:ascii="仿宋" w:hAnsi="仿宋" w:eastAsia="仿宋" w:cs="仿宋"/>
          <w:b/>
          <w:sz w:val="32"/>
          <w:szCs w:val="32"/>
        </w:rPr>
        <w:br w:type="page"/>
      </w:r>
      <w:bookmarkStart w:id="218" w:name="_Toc101253381"/>
      <w:r>
        <w:rPr>
          <w:rFonts w:hint="eastAsia" w:ascii="仿宋" w:hAnsi="仿宋" w:eastAsia="仿宋" w:cs="仿宋"/>
          <w:b/>
          <w:sz w:val="32"/>
          <w:szCs w:val="32"/>
        </w:rPr>
        <w:t>第六章  推进系统防治，加强土壤环境保护</w:t>
      </w:r>
      <w:bookmarkEnd w:id="218"/>
    </w:p>
    <w:p w14:paraId="53572D08">
      <w:pPr>
        <w:pStyle w:val="27"/>
        <w:spacing w:line="550" w:lineRule="exact"/>
        <w:ind w:left="0" w:leftChars="0" w:firstLine="640"/>
        <w:contextualSpacing/>
        <w:rPr>
          <w:rFonts w:ascii="仿宋" w:hAnsi="仿宋" w:eastAsia="仿宋" w:cs="仿宋"/>
          <w:sz w:val="32"/>
          <w:szCs w:val="32"/>
        </w:rPr>
      </w:pPr>
      <w:r>
        <w:rPr>
          <w:rFonts w:hint="eastAsia" w:ascii="仿宋" w:hAnsi="仿宋" w:eastAsia="仿宋" w:cs="仿宋"/>
          <w:sz w:val="32"/>
          <w:szCs w:val="32"/>
        </w:rPr>
        <w:t>坚持预防为主、保护优先、防控结合，协同推进土壤和地下水污染系统防治，保障土壤和地下水环境安全。</w:t>
      </w:r>
    </w:p>
    <w:p w14:paraId="2F6CE1FA">
      <w:pPr>
        <w:pStyle w:val="4"/>
        <w:spacing w:line="550" w:lineRule="exact"/>
        <w:ind w:firstLine="0" w:firstLineChars="0"/>
        <w:jc w:val="center"/>
        <w:rPr>
          <w:rFonts w:ascii="仿宋" w:hAnsi="仿宋" w:cs="仿宋"/>
          <w:bCs w:val="0"/>
          <w:sz w:val="32"/>
        </w:rPr>
      </w:pPr>
      <w:bookmarkStart w:id="219" w:name="_Toc101253382"/>
      <w:r>
        <w:rPr>
          <w:rFonts w:hint="eastAsia" w:ascii="仿宋" w:hAnsi="仿宋" w:cs="仿宋"/>
          <w:bCs w:val="0"/>
          <w:sz w:val="32"/>
        </w:rPr>
        <w:t>第一节  深化土壤污染状况调查</w:t>
      </w:r>
      <w:bookmarkEnd w:id="219"/>
    </w:p>
    <w:p w14:paraId="40FD2BE5">
      <w:pPr>
        <w:pStyle w:val="27"/>
        <w:spacing w:line="550" w:lineRule="exact"/>
        <w:ind w:left="0" w:leftChars="0" w:firstLine="640"/>
        <w:contextualSpacing/>
        <w:rPr>
          <w:rFonts w:ascii="仿宋" w:hAnsi="仿宋" w:eastAsia="仿宋" w:cs="仿宋"/>
          <w:sz w:val="32"/>
          <w:szCs w:val="32"/>
        </w:rPr>
      </w:pPr>
      <w:r>
        <w:rPr>
          <w:rFonts w:hint="eastAsia" w:ascii="仿宋" w:hAnsi="仿宋" w:eastAsia="仿宋" w:cs="仿宋"/>
          <w:sz w:val="32"/>
          <w:szCs w:val="32"/>
        </w:rPr>
        <w:t>完善土壤环境质量监测网络，根据工作需要补充设置土壤环境质量监测点位，对特征污染物进行监测。</w:t>
      </w:r>
    </w:p>
    <w:p w14:paraId="2567AB76">
      <w:pPr>
        <w:pStyle w:val="27"/>
        <w:spacing w:after="0" w:line="550" w:lineRule="exact"/>
        <w:ind w:left="0" w:leftChars="0" w:firstLine="640"/>
        <w:contextualSpacing/>
        <w:rPr>
          <w:rFonts w:ascii="仿宋" w:hAnsi="仿宋" w:eastAsia="仿宋" w:cs="仿宋"/>
          <w:sz w:val="32"/>
          <w:szCs w:val="32"/>
        </w:rPr>
      </w:pPr>
      <w:r>
        <w:rPr>
          <w:rFonts w:hint="eastAsia" w:ascii="仿宋" w:hAnsi="仿宋" w:eastAsia="仿宋" w:cs="仿宋"/>
          <w:sz w:val="32"/>
          <w:szCs w:val="32"/>
        </w:rPr>
        <w:t>加强西安创联电镀有限责任公司的监管；对化工电镀等6大类已关闭的企业及工业企业土地变性进行土壤污染源调查，预防重金属污染。对已收储且尚未出让的重点行业建设用地，开展土壤环境初步调查，受特殊因素限制尚不具备调查条件的，完成风险筛查分级工作。2025年底前，掌握重点行业建设用地中的污染地块分布、污染来源及其环境风险情况。建立全区土壤环境基础数据库和信息管理平台。</w:t>
      </w:r>
    </w:p>
    <w:p w14:paraId="2CF8D50E">
      <w:pPr>
        <w:pStyle w:val="27"/>
        <w:spacing w:after="0" w:line="550" w:lineRule="exact"/>
        <w:ind w:left="0" w:leftChars="0" w:firstLine="640"/>
        <w:contextualSpacing/>
        <w:rPr>
          <w:rFonts w:ascii="仿宋" w:hAnsi="仿宋" w:eastAsia="仿宋" w:cs="仿宋"/>
        </w:rPr>
      </w:pPr>
      <w:r>
        <w:rPr>
          <w:rFonts w:hint="eastAsia" w:ascii="仿宋" w:hAnsi="仿宋" w:eastAsia="仿宋" w:cs="仿宋"/>
          <w:sz w:val="32"/>
          <w:szCs w:val="32"/>
        </w:rPr>
        <w:t>配合省土壤详查工作组开展重点行业企业土壤污染状况调查，加强与省级部门、市级部门对接，争取实现土壤环境基础数据共享，提高雁塔区土壤环境信息化管理能力。</w:t>
      </w:r>
    </w:p>
    <w:p w14:paraId="60406D3A">
      <w:pPr>
        <w:pStyle w:val="4"/>
        <w:spacing w:line="550" w:lineRule="exact"/>
        <w:ind w:firstLine="0" w:firstLineChars="0"/>
        <w:jc w:val="center"/>
        <w:rPr>
          <w:rFonts w:ascii="仿宋" w:hAnsi="仿宋" w:cs="仿宋"/>
          <w:bCs w:val="0"/>
          <w:sz w:val="32"/>
        </w:rPr>
      </w:pPr>
      <w:bookmarkStart w:id="220" w:name="_Toc101253383"/>
      <w:r>
        <w:rPr>
          <w:rFonts w:hint="eastAsia" w:ascii="仿宋" w:hAnsi="仿宋" w:cs="仿宋"/>
          <w:bCs w:val="0"/>
          <w:sz w:val="32"/>
        </w:rPr>
        <w:t>第二节  实施建设用地准入管理</w:t>
      </w:r>
      <w:bookmarkEnd w:id="220"/>
    </w:p>
    <w:p w14:paraId="3C5BD1CF">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建立疑似污染地块名单并及时上传至污染地块土壤环境管理系统。动态更新建设用地土壤污染风险管控和修复名录并向社会公开。依法依规开展相关地块的土壤污染环境调查，确定有污染的，严格落实土壤污染风险管控和修复要求。</w:t>
      </w:r>
    </w:p>
    <w:p w14:paraId="1D96CBA5">
      <w:pPr>
        <w:pStyle w:val="11"/>
        <w:adjustRightInd w:val="0"/>
        <w:spacing w:after="0" w:line="55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根据建设用地土壤环境质量调查评估结果，逐步建立污染地块名录及其开发利用的负面清单，合理确定土地用途。符合相应规划用地土壤环境质量要求的地块，可进入用地程序。暂不开发利用或现阶段不具备治理修复条件的污染地块，由区政府（园区管委会）划定为管控区域，设立标识，发布公告，开展监测；发现污染扩散的，有关责任主体要及时采取风险管控措施。落实联动监管责任，建立规划、国土、生态环境、工信等部门间的信息沟通机制，实行联动监管。</w:t>
      </w:r>
    </w:p>
    <w:p w14:paraId="45BB275E">
      <w:pPr>
        <w:pStyle w:val="11"/>
        <w:adjustRightInd w:val="0"/>
        <w:spacing w:after="0" w:line="550" w:lineRule="exact"/>
        <w:ind w:firstLine="640" w:firstLineChars="200"/>
        <w:contextualSpacing/>
        <w:rPr>
          <w:rFonts w:ascii="仿宋" w:hAnsi="仿宋" w:eastAsia="仿宋" w:cs="仿宋"/>
          <w:sz w:val="30"/>
          <w:szCs w:val="30"/>
        </w:rPr>
      </w:pPr>
      <w:r>
        <w:rPr>
          <w:rFonts w:hint="eastAsia" w:ascii="仿宋" w:hAnsi="仿宋" w:eastAsia="仿宋" w:cs="仿宋"/>
          <w:sz w:val="32"/>
          <w:szCs w:val="32"/>
        </w:rPr>
        <w:t>将建设用地土壤环境管理要求纳入城市规划和供地管理，土地开发利用必须符合土壤环境质量要求。加强土地征收、收回、收购以及转让、改变用途等环节的监管，充分利用污染地块土壤环境管理系统，提升建设用地土壤环境监管能力。严格城镇人口密集区危险化学品生产企业腾退用地的土壤环境监管。</w:t>
      </w:r>
    </w:p>
    <w:p w14:paraId="5E0F4A5A">
      <w:pPr>
        <w:spacing w:line="550" w:lineRule="exact"/>
        <w:ind w:firstLine="640" w:firstLineChars="200"/>
        <w:rPr>
          <w:rFonts w:ascii="仿宋" w:hAnsi="仿宋" w:eastAsia="仿宋" w:cs="仿宋"/>
        </w:rPr>
      </w:pPr>
      <w:r>
        <w:rPr>
          <w:rFonts w:hint="eastAsia" w:ascii="仿宋" w:hAnsi="仿宋" w:eastAsia="仿宋" w:cs="仿宋"/>
          <w:sz w:val="32"/>
          <w:szCs w:val="32"/>
        </w:rPr>
        <w:t>对于用途变更为住宅、公共管理与公共服务用地的，变更前应当按照规定进行土壤污染状况调查，调查评估结果向区生态环境和自然资源部门备案。</w:t>
      </w:r>
    </w:p>
    <w:p w14:paraId="194A5637">
      <w:pPr>
        <w:pStyle w:val="4"/>
        <w:spacing w:line="550" w:lineRule="exact"/>
        <w:ind w:firstLine="0" w:firstLineChars="0"/>
        <w:jc w:val="center"/>
        <w:rPr>
          <w:rFonts w:ascii="仿宋" w:hAnsi="仿宋" w:cs="仿宋"/>
          <w:bCs w:val="0"/>
          <w:sz w:val="32"/>
        </w:rPr>
      </w:pPr>
      <w:bookmarkStart w:id="221" w:name="_Toc101253384"/>
      <w:r>
        <w:rPr>
          <w:rFonts w:hint="eastAsia" w:ascii="仿宋" w:hAnsi="仿宋" w:cs="仿宋"/>
          <w:bCs w:val="0"/>
          <w:sz w:val="32"/>
        </w:rPr>
        <w:t>第三节  加强土壤污染源头管控</w:t>
      </w:r>
      <w:bookmarkEnd w:id="221"/>
    </w:p>
    <w:p w14:paraId="16365E15">
      <w:pPr>
        <w:pStyle w:val="27"/>
        <w:spacing w:after="0" w:line="550" w:lineRule="exact"/>
        <w:ind w:left="0" w:leftChars="0" w:firstLine="640"/>
        <w:contextualSpacing/>
        <w:rPr>
          <w:rFonts w:ascii="仿宋" w:hAnsi="仿宋" w:eastAsia="仿宋" w:cs="仿宋"/>
          <w:sz w:val="32"/>
          <w:szCs w:val="32"/>
        </w:rPr>
      </w:pPr>
      <w:r>
        <w:rPr>
          <w:rFonts w:hint="eastAsia" w:ascii="仿宋" w:hAnsi="仿宋" w:eastAsia="仿宋" w:cs="仿宋"/>
          <w:sz w:val="32"/>
          <w:szCs w:val="32"/>
        </w:rPr>
        <w:t>将土壤污染重点监管单位纳入排污许可重点管理，严格控制有毒有害物质排放，督促落实土壤污染隐患排查制度，按年度制定监测方案并开展自行监测。加大环境执法力度，对超标排放造成土壤污染的企业挂牌督办，限期治理，对治理后仍不达标的企业坚决依法关停。重点关注</w:t>
      </w:r>
      <w:r>
        <w:rPr>
          <w:rFonts w:hint="eastAsia" w:ascii="仿宋" w:hAnsi="仿宋" w:eastAsia="仿宋" w:cs="仿宋"/>
          <w:bCs/>
          <w:sz w:val="32"/>
          <w:szCs w:val="32"/>
        </w:rPr>
        <w:t>土壤污染重点监管单位拆除设施、设备或者建筑物、构筑物的，必须制定包括应急措施在内的土壤污染防治工作方案。</w:t>
      </w:r>
    </w:p>
    <w:p w14:paraId="32C4ADC7">
      <w:pPr>
        <w:pStyle w:val="27"/>
        <w:spacing w:after="0" w:line="550" w:lineRule="exact"/>
        <w:ind w:left="0" w:leftChars="0" w:firstLine="640"/>
        <w:contextualSpacing/>
        <w:rPr>
          <w:rFonts w:ascii="仿宋" w:hAnsi="仿宋" w:eastAsia="仿宋" w:cs="仿宋"/>
          <w:sz w:val="32"/>
          <w:szCs w:val="32"/>
        </w:rPr>
      </w:pPr>
      <w:r>
        <w:rPr>
          <w:rFonts w:hint="eastAsia" w:ascii="仿宋" w:hAnsi="仿宋" w:eastAsia="仿宋" w:cs="仿宋"/>
          <w:bCs/>
          <w:sz w:val="32"/>
          <w:szCs w:val="32"/>
        </w:rPr>
        <w:t>严格执行重金属污染物排放标准并落实相关总量控制指标，加大对涉重金属企业的监督检查力度，对整改后仍不达标的企业，依法责令其停业或关闭，并将企业名单向社会公布。完成涉镉等重金属重点行业企业排查整治任务。</w:t>
      </w:r>
    </w:p>
    <w:p w14:paraId="43715E5A">
      <w:pPr>
        <w:pStyle w:val="27"/>
        <w:spacing w:after="0" w:line="550" w:lineRule="exact"/>
        <w:ind w:left="0" w:leftChars="0" w:firstLine="640"/>
        <w:contextualSpacing/>
        <w:rPr>
          <w:rFonts w:ascii="仿宋" w:hAnsi="仿宋" w:eastAsia="仿宋" w:cs="仿宋"/>
          <w:sz w:val="32"/>
          <w:szCs w:val="32"/>
        </w:rPr>
      </w:pPr>
      <w:r>
        <w:rPr>
          <w:rFonts w:hint="eastAsia" w:ascii="仿宋" w:hAnsi="仿宋" w:eastAsia="仿宋" w:cs="仿宋"/>
          <w:sz w:val="32"/>
          <w:szCs w:val="32"/>
        </w:rPr>
        <w:t>加强固体废物监管，按照省生态环境厅安排开展“清废”行动，巩固“清废”成果。加大对工业固体废物违法违规转移的监管和打击力度，严防工业污染“上山下乡”。</w:t>
      </w:r>
    </w:p>
    <w:p w14:paraId="0C3EF013">
      <w:pPr>
        <w:pStyle w:val="27"/>
        <w:spacing w:after="0" w:line="550" w:lineRule="exact"/>
        <w:ind w:left="0" w:leftChars="0" w:firstLine="640"/>
        <w:contextualSpacing/>
        <w:rPr>
          <w:rFonts w:ascii="仿宋" w:hAnsi="仿宋" w:eastAsia="仿宋" w:cs="仿宋"/>
          <w:sz w:val="32"/>
          <w:szCs w:val="32"/>
        </w:rPr>
      </w:pPr>
      <w:r>
        <w:rPr>
          <w:rFonts w:hint="eastAsia" w:ascii="仿宋" w:hAnsi="仿宋" w:eastAsia="仿宋" w:cs="仿宋"/>
          <w:sz w:val="32"/>
          <w:szCs w:val="32"/>
        </w:rPr>
        <w:t>推进非正规垃圾堆放点排查整治。巩固较大规模农村生活垃圾非正规垃圾堆放点整治成效，防止出现反弹；建筑垃圾资源化利用率达到30%以上。推进“垃圾围堰”排查整治。</w:t>
      </w:r>
    </w:p>
    <w:p w14:paraId="4BECD4F0">
      <w:pPr>
        <w:pStyle w:val="27"/>
        <w:spacing w:after="0" w:line="550" w:lineRule="exact"/>
        <w:ind w:left="0" w:leftChars="0" w:firstLine="640"/>
        <w:contextualSpacing/>
        <w:rPr>
          <w:rFonts w:ascii="仿宋" w:hAnsi="仿宋" w:eastAsia="仿宋" w:cs="仿宋"/>
        </w:rPr>
      </w:pPr>
      <w:r>
        <w:rPr>
          <w:rFonts w:hint="eastAsia" w:ascii="仿宋" w:hAnsi="仿宋" w:eastAsia="仿宋" w:cs="仿宋"/>
          <w:bCs/>
          <w:sz w:val="32"/>
          <w:szCs w:val="32"/>
        </w:rPr>
        <w:t>减少生活污染，完成餐厨垃圾处理试点建设。</w:t>
      </w:r>
    </w:p>
    <w:p w14:paraId="3D224E8A">
      <w:pPr>
        <w:pStyle w:val="4"/>
        <w:spacing w:line="550" w:lineRule="exact"/>
        <w:ind w:firstLine="0" w:firstLineChars="0"/>
        <w:jc w:val="center"/>
        <w:rPr>
          <w:rFonts w:ascii="仿宋" w:hAnsi="仿宋" w:cs="仿宋"/>
          <w:bCs w:val="0"/>
          <w:sz w:val="32"/>
        </w:rPr>
      </w:pPr>
      <w:bookmarkStart w:id="222" w:name="_Toc101253385"/>
      <w:r>
        <w:rPr>
          <w:rFonts w:hint="eastAsia" w:ascii="仿宋" w:hAnsi="仿宋" w:cs="仿宋"/>
          <w:bCs w:val="0"/>
          <w:sz w:val="32"/>
        </w:rPr>
        <w:t>第四节  有序开展土壤污染治理</w:t>
      </w:r>
      <w:bookmarkEnd w:id="222"/>
    </w:p>
    <w:p w14:paraId="33DBB1B2">
      <w:pPr>
        <w:spacing w:line="550" w:lineRule="exact"/>
        <w:ind w:firstLine="640" w:firstLineChars="200"/>
        <w:rPr>
          <w:rFonts w:ascii="仿宋" w:hAnsi="仿宋" w:eastAsia="仿宋" w:cs="仿宋"/>
          <w:sz w:val="32"/>
          <w:szCs w:val="32"/>
        </w:rPr>
      </w:pPr>
      <w:r>
        <w:rPr>
          <w:rFonts w:hint="eastAsia" w:ascii="仿宋" w:hAnsi="仿宋" w:eastAsia="仿宋" w:cs="仿宋"/>
          <w:bCs/>
          <w:sz w:val="32"/>
          <w:szCs w:val="32"/>
        </w:rPr>
        <w:t>配合市级部门</w:t>
      </w:r>
      <w:r>
        <w:rPr>
          <w:rFonts w:hint="eastAsia" w:ascii="仿宋" w:hAnsi="仿宋" w:eastAsia="仿宋" w:cs="仿宋"/>
          <w:sz w:val="32"/>
          <w:szCs w:val="32"/>
        </w:rPr>
        <w:t>开展化工行业等典型污染源周边地下水基础环境状况调查，推进地下水污染防治信息共享。</w:t>
      </w:r>
    </w:p>
    <w:p w14:paraId="70C904DB">
      <w:pPr>
        <w:spacing w:line="550" w:lineRule="exact"/>
        <w:ind w:firstLine="640" w:firstLineChars="200"/>
        <w:rPr>
          <w:rFonts w:ascii="仿宋" w:hAnsi="仿宋" w:eastAsia="仿宋" w:cs="仿宋"/>
        </w:rPr>
      </w:pPr>
      <w:r>
        <w:rPr>
          <w:rFonts w:hint="eastAsia" w:ascii="仿宋" w:hAnsi="仿宋" w:eastAsia="仿宋" w:cs="仿宋"/>
          <w:sz w:val="32"/>
          <w:szCs w:val="32"/>
        </w:rPr>
        <w:t>加强土壤污染风险管控和修复活动监管，督促责任人依法依规开展土壤污染风险管控和修复活动。工程实施中要防止土壤挖掘、堆存造成二次污染，转运污染土壤前要提前向所在区县级生态环境部门报告，工程完工后要开展风险管控或修复效果评估并向社会公开。</w:t>
      </w:r>
    </w:p>
    <w:p w14:paraId="6313CBC6">
      <w:pPr>
        <w:pStyle w:val="4"/>
        <w:spacing w:line="550" w:lineRule="exact"/>
        <w:ind w:firstLine="0" w:firstLineChars="0"/>
        <w:jc w:val="center"/>
        <w:rPr>
          <w:rFonts w:ascii="仿宋" w:hAnsi="仿宋" w:cs="仿宋"/>
          <w:bCs w:val="0"/>
          <w:sz w:val="32"/>
        </w:rPr>
      </w:pPr>
      <w:bookmarkStart w:id="223" w:name="_Toc101253386"/>
      <w:r>
        <w:rPr>
          <w:rFonts w:hint="eastAsia" w:ascii="仿宋" w:hAnsi="仿宋" w:cs="仿宋"/>
          <w:bCs w:val="0"/>
          <w:sz w:val="32"/>
        </w:rPr>
        <w:t>第五节  开展土壤污染治理与修复</w:t>
      </w:r>
      <w:bookmarkEnd w:id="223"/>
    </w:p>
    <w:p w14:paraId="5D55903A">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以拟开发建设居住、商业、学校、医疗和养老机构等项目的污染地块为重点，经土壤环境调查确定为污染地块的，落实详细调查和风险评估，并结合地块运作时序，有序开展建设用地污染地块的治理与修复；有针对性地采取土壤污染风险管控措施和实施土壤修复工程，有计划、分步骤地开展土壤污染治理与修复。到2025年，受污染地块治理与修复面积达到省和市上要求。</w:t>
      </w:r>
    </w:p>
    <w:p w14:paraId="03A5EA61">
      <w:pPr>
        <w:adjustRightInd w:val="0"/>
        <w:jc w:val="center"/>
        <w:outlineLvl w:val="0"/>
        <w:rPr>
          <w:rFonts w:ascii="仿宋" w:hAnsi="仿宋" w:eastAsia="仿宋" w:cs="仿宋"/>
          <w:b/>
          <w:sz w:val="32"/>
          <w:szCs w:val="32"/>
        </w:rPr>
      </w:pPr>
      <w:r>
        <w:rPr>
          <w:rFonts w:hint="eastAsia" w:ascii="仿宋" w:hAnsi="仿宋" w:eastAsia="仿宋" w:cs="仿宋"/>
          <w:b/>
          <w:sz w:val="32"/>
          <w:szCs w:val="32"/>
        </w:rPr>
        <w:br w:type="page"/>
      </w:r>
      <w:bookmarkStart w:id="224" w:name="_Toc101253387"/>
      <w:r>
        <w:rPr>
          <w:rFonts w:hint="eastAsia" w:ascii="仿宋" w:hAnsi="仿宋" w:eastAsia="仿宋" w:cs="仿宋"/>
          <w:b/>
          <w:sz w:val="32"/>
          <w:szCs w:val="32"/>
        </w:rPr>
        <w:t>第七章  强化风险防控，推进固体废物资源化利用</w:t>
      </w:r>
      <w:bookmarkEnd w:id="224"/>
    </w:p>
    <w:p w14:paraId="5B37D98E">
      <w:pPr>
        <w:adjustRightInd w:val="0"/>
        <w:ind w:firstLine="640" w:firstLineChars="200"/>
        <w:contextualSpacing/>
        <w:rPr>
          <w:rFonts w:ascii="仿宋" w:hAnsi="仿宋" w:eastAsia="仿宋" w:cs="仿宋"/>
          <w:sz w:val="32"/>
          <w:szCs w:val="32"/>
        </w:rPr>
      </w:pPr>
      <w:r>
        <w:rPr>
          <w:rFonts w:hint="eastAsia" w:ascii="仿宋" w:hAnsi="仿宋" w:eastAsia="仿宋" w:cs="仿宋"/>
          <w:sz w:val="32"/>
          <w:szCs w:val="32"/>
        </w:rPr>
        <w:t>坚持预防为主原则，将环境风险纳入常态化管理，推动环境风险防控由应急管理向全过程管理转变。推进固体废物、核与辐射等重点领域环境风险防控，加强应急监测预警体系以及应急物资保障体系建设，推进固体废物资源化利用。</w:t>
      </w:r>
    </w:p>
    <w:p w14:paraId="6AB3F098">
      <w:pPr>
        <w:pStyle w:val="4"/>
        <w:adjustRightInd w:val="0"/>
        <w:spacing w:line="560" w:lineRule="exact"/>
        <w:ind w:firstLine="0" w:firstLineChars="0"/>
        <w:contextualSpacing/>
        <w:jc w:val="center"/>
        <w:rPr>
          <w:rFonts w:ascii="仿宋" w:hAnsi="仿宋" w:cs="仿宋"/>
          <w:bCs w:val="0"/>
          <w:sz w:val="32"/>
        </w:rPr>
      </w:pPr>
      <w:bookmarkStart w:id="225" w:name="_Toc101253388"/>
      <w:r>
        <w:rPr>
          <w:rFonts w:hint="eastAsia" w:ascii="仿宋" w:hAnsi="仿宋" w:cs="仿宋"/>
          <w:bCs w:val="0"/>
          <w:sz w:val="32"/>
        </w:rPr>
        <w:t>第一节  强化环境风险应急管理</w:t>
      </w:r>
      <w:bookmarkEnd w:id="225"/>
    </w:p>
    <w:p w14:paraId="57423575">
      <w:pPr>
        <w:pStyle w:val="26"/>
        <w:adjustRightInd w:val="0"/>
        <w:spacing w:line="560" w:lineRule="exact"/>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持续完善环境风险防范体系。强化企事业单位环境风险防范主体责任，建立风险分级分类管控体系，制定相关工作指南，推动重点行业、企业环境风险评估和等级划分，提高企业安全风险防控水平。</w:t>
      </w:r>
    </w:p>
    <w:p w14:paraId="2B97288A">
      <w:pPr>
        <w:pStyle w:val="26"/>
        <w:adjustRightInd w:val="0"/>
        <w:spacing w:line="560" w:lineRule="exact"/>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建立健全环境应急管理体系。完善突发环境事件应急管理多层次预案体系，健全生态环境风险动态评价和管理机制。定期开展企事业单位环境风险隐患排查专项整治。强化政府、企业预案管理，规范落实环境应急演练和培训。</w:t>
      </w:r>
    </w:p>
    <w:p w14:paraId="61C55C17">
      <w:pPr>
        <w:pStyle w:val="26"/>
        <w:adjustRightInd w:val="0"/>
        <w:spacing w:line="560" w:lineRule="exact"/>
        <w:ind w:firstLine="640" w:firstLineChars="200"/>
        <w:contextualSpacing/>
        <w:jc w:val="both"/>
      </w:pPr>
      <w:r>
        <w:rPr>
          <w:rFonts w:hint="eastAsia" w:ascii="仿宋" w:hAnsi="仿宋" w:eastAsia="仿宋" w:cs="仿宋"/>
          <w:sz w:val="32"/>
          <w:szCs w:val="32"/>
        </w:rPr>
        <w:t>全面加强环境应急能力建设。推动环境应急和物资储备库建设，全面提高环境风险防控能力和环境应急处置能力。建立应急处置资源清单，推进先进设备及技术在环境应急事件中的使用，提升环境应急能力。</w:t>
      </w:r>
    </w:p>
    <w:p w14:paraId="69EDFFDD">
      <w:pPr>
        <w:pStyle w:val="4"/>
        <w:spacing w:line="560" w:lineRule="exact"/>
        <w:ind w:firstLine="0" w:firstLineChars="0"/>
        <w:jc w:val="center"/>
        <w:rPr>
          <w:rFonts w:ascii="仿宋" w:hAnsi="仿宋" w:cs="仿宋"/>
          <w:bCs w:val="0"/>
          <w:sz w:val="32"/>
        </w:rPr>
      </w:pPr>
      <w:bookmarkStart w:id="226" w:name="_Toc101253389"/>
      <w:r>
        <w:rPr>
          <w:rFonts w:hint="eastAsia" w:ascii="仿宋" w:hAnsi="仿宋" w:cs="仿宋"/>
          <w:bCs w:val="0"/>
          <w:sz w:val="32"/>
        </w:rPr>
        <w:t>第二节  加强固体废物污染防治</w:t>
      </w:r>
      <w:bookmarkEnd w:id="226"/>
    </w:p>
    <w:p w14:paraId="5A686C45">
      <w:pPr>
        <w:adjustRightInd w:val="0"/>
        <w:ind w:firstLine="640" w:firstLineChars="200"/>
        <w:contextualSpacing/>
        <w:rPr>
          <w:rFonts w:ascii="仿宋" w:hAnsi="仿宋" w:eastAsia="仿宋" w:cs="仿宋"/>
          <w:sz w:val="32"/>
          <w:szCs w:val="32"/>
        </w:rPr>
      </w:pPr>
      <w:r>
        <w:rPr>
          <w:rFonts w:hint="eastAsia" w:ascii="仿宋" w:hAnsi="仿宋" w:eastAsia="仿宋" w:cs="仿宋"/>
          <w:sz w:val="32"/>
          <w:szCs w:val="32"/>
        </w:rPr>
        <w:t>加快危险废物利用处置设施建设。按照就地就近无害化安全处置的原则，根据区域发展的处置能力需要，科学规划建设危险废物处置设施，鼓励通过第三方治理、环境绩效合同服务、政府和社会资本合作等模式，吸引社会资本进入危险废物污染防治领域。</w:t>
      </w:r>
    </w:p>
    <w:p w14:paraId="0546087A">
      <w:pPr>
        <w:adjustRightInd w:val="0"/>
        <w:ind w:firstLine="640" w:firstLineChars="200"/>
        <w:contextualSpacing/>
        <w:rPr>
          <w:rFonts w:ascii="仿宋" w:hAnsi="仿宋" w:eastAsia="仿宋" w:cs="仿宋"/>
          <w:sz w:val="32"/>
          <w:szCs w:val="32"/>
        </w:rPr>
      </w:pPr>
      <w:r>
        <w:rPr>
          <w:rFonts w:hint="eastAsia" w:ascii="仿宋" w:hAnsi="仿宋" w:eastAsia="仿宋" w:cs="仿宋"/>
          <w:sz w:val="32"/>
          <w:szCs w:val="32"/>
        </w:rPr>
        <w:t>加强医疗和工业危险废物管理。完善医疗废物处置设施及在线监测自动控制系统，建立辖区医疗废物产生、收运、处置全过程信息管理中心，完善医疗废物管理责任制度，落实责任到人。严格执行危险废物联单转运制度，建立完善的区域性危险废物收集转运网络，建立涉危险废物企业产生、利用、处置权过程信息管理平台，实现工业危险废物的全方位监管，制定危险废物应急救援预案。</w:t>
      </w:r>
    </w:p>
    <w:p w14:paraId="7685F388">
      <w:pPr>
        <w:pStyle w:val="27"/>
        <w:adjustRightInd w:val="0"/>
        <w:spacing w:after="0"/>
        <w:ind w:left="0" w:leftChars="0" w:firstLine="640"/>
        <w:contextualSpacing/>
        <w:rPr>
          <w:rFonts w:ascii="仿宋" w:hAnsi="仿宋" w:eastAsia="仿宋" w:cs="仿宋"/>
          <w:sz w:val="32"/>
          <w:szCs w:val="32"/>
        </w:rPr>
      </w:pPr>
      <w:r>
        <w:rPr>
          <w:rFonts w:hint="eastAsia" w:ascii="仿宋" w:hAnsi="仿宋" w:eastAsia="仿宋" w:cs="仿宋"/>
          <w:sz w:val="32"/>
          <w:szCs w:val="32"/>
        </w:rPr>
        <w:t>加强社会源危险废物的监管。推进废矿物油等社会生活源危险废物监管，以汽车维修企业生产销售回收企业为重点，构建完善的危险废物回收和资源化利用体系；完善电子垃圾回收垃圾体系建设，远期建立覆盖辖区的电子垃圾收集、回收体系。</w:t>
      </w:r>
    </w:p>
    <w:p w14:paraId="4FCC25A1">
      <w:pPr>
        <w:pStyle w:val="27"/>
        <w:spacing w:after="0"/>
        <w:ind w:left="0" w:leftChars="0" w:firstLine="640"/>
        <w:contextualSpacing/>
        <w:rPr>
          <w:rFonts w:ascii="仿宋" w:hAnsi="仿宋" w:eastAsia="仿宋" w:cs="仿宋"/>
          <w:sz w:val="32"/>
          <w:szCs w:val="32"/>
        </w:rPr>
      </w:pPr>
      <w:r>
        <w:rPr>
          <w:rFonts w:hint="eastAsia" w:ascii="仿宋" w:hAnsi="仿宋" w:eastAsia="仿宋" w:cs="仿宋"/>
          <w:sz w:val="32"/>
          <w:szCs w:val="32"/>
        </w:rPr>
        <w:t>完善生活垃圾转运和处理设施。实施环卫设施增量提质行动，优化环卫基地、垃圾转运站、垃圾收集设施、环卫车辆设施的布局。加快推进垃圾中转站和垃圾无害化处置设施的建设，完善城镇生活垃圾转运系统。结合老旧小区改造、外立面改造，强化建筑“第五立面”的规划、设计、建设、改造、管理等，打造“空中美丽雁塔”，搭建智能化环卫平台，形成全区环卫云数据，及时进行人、物的合理配置，实现使用效率最大化。</w:t>
      </w:r>
    </w:p>
    <w:p w14:paraId="43A5E702">
      <w:pPr>
        <w:pStyle w:val="27"/>
        <w:spacing w:after="0"/>
        <w:ind w:left="0" w:leftChars="0" w:firstLine="640"/>
        <w:contextualSpacing/>
        <w:rPr>
          <w:rFonts w:ascii="仿宋" w:hAnsi="仿宋" w:eastAsia="仿宋" w:cs="仿宋"/>
          <w:sz w:val="32"/>
          <w:szCs w:val="32"/>
        </w:rPr>
      </w:pPr>
      <w:r>
        <w:rPr>
          <w:rFonts w:hint="eastAsia" w:ascii="仿宋" w:hAnsi="仿宋" w:eastAsia="仿宋" w:cs="仿宋"/>
          <w:sz w:val="32"/>
          <w:szCs w:val="32"/>
        </w:rPr>
        <w:t>全面推行垃圾分类升级。加快医疗和危险废物利用处置设施建设，建立完善的区域性危险废物收集转运网络，实施危险废物全方位监管，制定危险废物应急救援预案。布局建设城市垃圾处理系统，坚持“1322”分类模式，完善生活垃圾分类收集处理制度，有效提升雁塔区生活垃圾分类整体水平。加强塑料污染治理，禁止、限制部分塑料制品生产、销售和使用，明显减少一次性塑料制品消费量。</w:t>
      </w:r>
    </w:p>
    <w:p w14:paraId="7CCE7CFA">
      <w:pPr>
        <w:pStyle w:val="27"/>
        <w:spacing w:after="0"/>
        <w:ind w:left="0" w:leftChars="0" w:firstLine="640"/>
        <w:contextualSpacing/>
        <w:rPr>
          <w:rFonts w:ascii="仿宋" w:hAnsi="仿宋" w:eastAsia="仿宋" w:cs="仿宋"/>
          <w:sz w:val="32"/>
          <w:szCs w:val="32"/>
        </w:rPr>
      </w:pPr>
      <w:r>
        <w:rPr>
          <w:rFonts w:hint="eastAsia" w:ascii="仿宋" w:hAnsi="仿宋" w:eastAsia="仿宋" w:cs="仿宋"/>
          <w:sz w:val="32"/>
          <w:szCs w:val="32"/>
        </w:rPr>
        <w:t>加快推进厨余垃圾处置设施。加快城镇地区厨余垃圾的资源化利用，逐步构建完善的餐厨垃圾收运、利用全过程控制系统。重点抓好中心区域的餐厨垃圾处理场建设，积极推动餐厨垃圾的分类收运和处理，以规模适度、相对集中为原则，建设餐厨垃圾资源化利用和无害化处理设施。</w:t>
      </w:r>
    </w:p>
    <w:p w14:paraId="61525DE6">
      <w:pPr>
        <w:pStyle w:val="4"/>
        <w:spacing w:line="560" w:lineRule="exact"/>
        <w:ind w:firstLine="0" w:firstLineChars="0"/>
        <w:contextualSpacing/>
        <w:jc w:val="center"/>
        <w:rPr>
          <w:rFonts w:ascii="仿宋" w:hAnsi="仿宋" w:cs="仿宋"/>
          <w:bCs w:val="0"/>
          <w:sz w:val="32"/>
        </w:rPr>
      </w:pPr>
      <w:bookmarkStart w:id="227" w:name="_Toc101253390"/>
      <w:r>
        <w:rPr>
          <w:rFonts w:hint="eastAsia" w:ascii="仿宋" w:hAnsi="仿宋" w:cs="仿宋"/>
          <w:bCs w:val="0"/>
          <w:sz w:val="32"/>
        </w:rPr>
        <w:t>第三节  固体废物资源化利用</w:t>
      </w:r>
      <w:bookmarkEnd w:id="227"/>
    </w:p>
    <w:p w14:paraId="2C736D4A">
      <w:pPr>
        <w:ind w:firstLine="640" w:firstLineChars="200"/>
        <w:contextualSpacing/>
        <w:rPr>
          <w:rFonts w:ascii="仿宋" w:hAnsi="仿宋" w:eastAsia="仿宋" w:cs="仿宋"/>
          <w:sz w:val="32"/>
          <w:szCs w:val="32"/>
        </w:rPr>
      </w:pPr>
      <w:r>
        <w:rPr>
          <w:rFonts w:hint="eastAsia" w:ascii="仿宋" w:hAnsi="仿宋" w:eastAsia="仿宋" w:cs="仿宋"/>
          <w:sz w:val="32"/>
          <w:szCs w:val="32"/>
        </w:rPr>
        <w:t>强化工业固体废物资源资源化利用。持续加强一般性工业固体废物综合利用管理，提高资源化利用率，加强对企业固体废物贮存场所的巡视和环境监测；促进城镇污水处理厂污泥的资源化，扩大污泥联单转运实施范围，综合采用土地利用和热能利用等资源化技术，提高污泥资源化处理率。加强塑料污染治理，禁止、限制部分塑料制品生产、销售和使用，明显减少一次性塑料制品消费量。</w:t>
      </w:r>
    </w:p>
    <w:p w14:paraId="747579A2">
      <w:pPr>
        <w:ind w:firstLine="640" w:firstLineChars="200"/>
        <w:rPr>
          <w:rFonts w:ascii="仿宋" w:hAnsi="仿宋" w:eastAsia="仿宋" w:cs="仿宋"/>
          <w:sz w:val="32"/>
          <w:szCs w:val="32"/>
        </w:rPr>
      </w:pPr>
      <w:r>
        <w:rPr>
          <w:rFonts w:hint="eastAsia" w:ascii="仿宋" w:hAnsi="仿宋" w:eastAsia="仿宋" w:cs="仿宋"/>
          <w:sz w:val="32"/>
          <w:szCs w:val="32"/>
        </w:rPr>
        <w:t>加强建筑垃圾和工程渣土管理。规范城镇建筑垃圾管理和资源化利用，严格出土工地管理，确保源头规范；强化运输过程管理，加强运输企业、车辆及驾驶员管理，建立建筑渣土综合服务监管系统，开展建筑垃圾资源化示范工程。</w:t>
      </w:r>
    </w:p>
    <w:p w14:paraId="5CB850D3">
      <w:pPr>
        <w:pStyle w:val="4"/>
        <w:spacing w:line="560" w:lineRule="exact"/>
        <w:ind w:firstLine="0" w:firstLineChars="0"/>
        <w:jc w:val="center"/>
        <w:rPr>
          <w:rFonts w:ascii="仿宋" w:hAnsi="仿宋" w:cs="仿宋"/>
          <w:bCs w:val="0"/>
          <w:sz w:val="32"/>
        </w:rPr>
      </w:pPr>
      <w:bookmarkStart w:id="228" w:name="_Toc101253391"/>
      <w:r>
        <w:rPr>
          <w:rFonts w:hint="eastAsia" w:ascii="仿宋" w:hAnsi="仿宋" w:cs="仿宋"/>
          <w:bCs w:val="0"/>
          <w:sz w:val="32"/>
        </w:rPr>
        <w:t>第四节  推进重金属污染减排</w:t>
      </w:r>
      <w:bookmarkEnd w:id="228"/>
    </w:p>
    <w:p w14:paraId="03B32491">
      <w:pPr>
        <w:pStyle w:val="26"/>
        <w:spacing w:after="0" w:line="560" w:lineRule="exact"/>
        <w:ind w:firstLine="640" w:firstLineChars="200"/>
        <w:contextualSpacing/>
        <w:jc w:val="both"/>
        <w:rPr>
          <w:rFonts w:ascii="仿宋" w:hAnsi="仿宋" w:eastAsia="仿宋" w:cs="仿宋"/>
          <w:kern w:val="0"/>
          <w:sz w:val="32"/>
          <w:szCs w:val="32"/>
        </w:rPr>
      </w:pPr>
      <w:r>
        <w:rPr>
          <w:rFonts w:hint="eastAsia" w:ascii="仿宋" w:hAnsi="仿宋" w:eastAsia="仿宋" w:cs="仿宋"/>
          <w:kern w:val="0"/>
          <w:sz w:val="32"/>
          <w:szCs w:val="32"/>
        </w:rPr>
        <w:t>持续推进重金属污染减排。严格涉重金属企业环境准入，新（改、扩）建涉重金属重点行业建设项目严格落实重点重金属污染排放“减量置换”或“等量替换”。持续淘汰电镀等涉重行业的落后产能。以结构调整、升级改造和深度治理为主要手段，持续减少重金属污染物排放。</w:t>
      </w:r>
    </w:p>
    <w:p w14:paraId="7256E604">
      <w:pPr>
        <w:pStyle w:val="4"/>
        <w:spacing w:line="560" w:lineRule="exact"/>
        <w:ind w:firstLine="0" w:firstLineChars="0"/>
        <w:contextualSpacing/>
        <w:jc w:val="center"/>
        <w:rPr>
          <w:rFonts w:ascii="仿宋" w:hAnsi="仿宋" w:cs="仿宋"/>
          <w:bCs w:val="0"/>
          <w:sz w:val="32"/>
        </w:rPr>
      </w:pPr>
      <w:bookmarkStart w:id="229" w:name="_Toc101253392"/>
      <w:r>
        <w:rPr>
          <w:rFonts w:hint="eastAsia" w:ascii="仿宋" w:hAnsi="仿宋" w:cs="仿宋"/>
          <w:bCs w:val="0"/>
          <w:sz w:val="32"/>
        </w:rPr>
        <w:t>第五节  提升核与辐射安全监管水平</w:t>
      </w:r>
      <w:bookmarkEnd w:id="229"/>
    </w:p>
    <w:p w14:paraId="7B6AA4C2">
      <w:pPr>
        <w:pStyle w:val="26"/>
        <w:spacing w:after="0" w:line="560" w:lineRule="exact"/>
        <w:ind w:firstLine="640" w:firstLineChars="200"/>
        <w:contextualSpacing/>
        <w:jc w:val="left"/>
        <w:rPr>
          <w:rFonts w:ascii="仿宋" w:hAnsi="仿宋" w:eastAsia="仿宋" w:cs="仿宋"/>
          <w:kern w:val="0"/>
          <w:sz w:val="32"/>
          <w:szCs w:val="32"/>
        </w:rPr>
      </w:pPr>
      <w:r>
        <w:rPr>
          <w:rFonts w:hint="eastAsia" w:ascii="仿宋" w:hAnsi="仿宋" w:eastAsia="仿宋" w:cs="仿宋"/>
          <w:kern w:val="0"/>
          <w:sz w:val="32"/>
          <w:szCs w:val="32"/>
        </w:rPr>
        <w:t>进一步完善核与辐射安全监管体系，强化安全监管体制机制。加强区内涉辐射建设项目事前审批和事中事后监管，确保放射性物质使用、运输、贮存等环节安全。进一步完善放射性废物管理，确保放射性废物完全受控、安全处置。推进核与辐射监管体系现代化，全面推进监管、监测与执法能力建设。强化辐射类项目的事中事后监管，及时掌握废旧、闲置放射源情况，确保废旧放射源收贮安全有效。</w:t>
      </w:r>
    </w:p>
    <w:p w14:paraId="500E454F">
      <w:pPr>
        <w:pStyle w:val="26"/>
        <w:spacing w:after="0"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及时完善国家核技术利用单位辐射安全管理系统，实施放射源、射线装置使用动态化全过程监控，全面推行核技术利用单位安全标准化建设。</w:t>
      </w:r>
    </w:p>
    <w:p w14:paraId="41D0B74A">
      <w:pPr>
        <w:pStyle w:val="27"/>
        <w:spacing w:after="0"/>
        <w:ind w:left="0" w:leftChars="0" w:firstLine="640"/>
        <w:contextualSpacing/>
        <w:rPr>
          <w:rFonts w:ascii="仿宋" w:hAnsi="仿宋" w:eastAsia="仿宋" w:cs="仿宋"/>
          <w:kern w:val="0"/>
          <w:sz w:val="32"/>
          <w:szCs w:val="32"/>
        </w:rPr>
      </w:pPr>
      <w:r>
        <w:rPr>
          <w:rFonts w:hint="eastAsia" w:ascii="仿宋" w:hAnsi="仿宋" w:eastAsia="仿宋" w:cs="仿宋"/>
          <w:kern w:val="0"/>
          <w:sz w:val="32"/>
          <w:szCs w:val="32"/>
        </w:rPr>
        <w:t>推进放射性污染防治，开展推进核与辐射治理和环境恢复、历史遗留伴生放射性固体废物处置。强化放射性监测与辐射检测制度执行情况的监督检查，严防放射性污染事故发生。</w:t>
      </w:r>
    </w:p>
    <w:p w14:paraId="340BACE0">
      <w:pPr>
        <w:pStyle w:val="27"/>
        <w:spacing w:after="0"/>
        <w:ind w:left="0" w:leftChars="0" w:firstLine="640"/>
        <w:contextualSpacing/>
        <w:rPr>
          <w:rFonts w:ascii="仿宋" w:hAnsi="仿宋" w:eastAsia="仿宋" w:cs="仿宋"/>
        </w:rPr>
      </w:pPr>
      <w:r>
        <w:rPr>
          <w:rFonts w:hint="eastAsia" w:ascii="仿宋" w:hAnsi="仿宋" w:eastAsia="仿宋" w:cs="仿宋"/>
          <w:kern w:val="0"/>
          <w:sz w:val="32"/>
          <w:szCs w:val="32"/>
        </w:rPr>
        <w:t>完善核与辐射事故应急响应体系建设。加强雁塔区辐射事故应急预案的修订及落实，按照分级负责、属地为主的原则，建立辐射事故应急响应机制。完善核与辐射事故应急组织机构体系，强化辐射工作单位防控意识，加强辐射事故应急演练、培训和应急物资储备，加强核与辐射事故应急管理，确保不发生放射性污染事故。</w:t>
      </w:r>
      <w:r>
        <w:rPr>
          <w:rFonts w:hint="eastAsia" w:ascii="仿宋" w:hAnsi="仿宋" w:eastAsia="仿宋" w:cs="仿宋"/>
          <w:b/>
          <w:sz w:val="32"/>
          <w:szCs w:val="32"/>
        </w:rPr>
        <w:br w:type="page"/>
      </w:r>
      <w:bookmarkStart w:id="230" w:name="_Toc7915"/>
      <w:bookmarkStart w:id="231" w:name="_Toc9092"/>
      <w:bookmarkStart w:id="232" w:name="_Toc14334"/>
      <w:bookmarkStart w:id="233" w:name="_Toc15551"/>
      <w:bookmarkStart w:id="234" w:name="_Toc85638715"/>
      <w:bookmarkStart w:id="235" w:name="_Toc30008"/>
    </w:p>
    <w:p w14:paraId="30EF1773">
      <w:pPr>
        <w:adjustRightInd w:val="0"/>
        <w:jc w:val="center"/>
        <w:outlineLvl w:val="0"/>
        <w:rPr>
          <w:rFonts w:ascii="仿宋" w:hAnsi="仿宋" w:eastAsia="仿宋" w:cs="仿宋"/>
          <w:b/>
          <w:sz w:val="32"/>
          <w:szCs w:val="32"/>
        </w:rPr>
      </w:pPr>
      <w:bookmarkStart w:id="236" w:name="_Toc101253393"/>
      <w:r>
        <w:rPr>
          <w:rFonts w:hint="eastAsia" w:ascii="仿宋" w:hAnsi="仿宋" w:eastAsia="仿宋" w:cs="仿宋"/>
          <w:b/>
          <w:sz w:val="32"/>
          <w:szCs w:val="32"/>
        </w:rPr>
        <w:t>第八章  推进生态环境管理机制创新，提高环境管理效能</w:t>
      </w:r>
      <w:bookmarkEnd w:id="230"/>
      <w:bookmarkEnd w:id="231"/>
      <w:bookmarkEnd w:id="232"/>
      <w:bookmarkEnd w:id="233"/>
      <w:bookmarkEnd w:id="234"/>
      <w:bookmarkEnd w:id="235"/>
      <w:bookmarkEnd w:id="236"/>
    </w:p>
    <w:p w14:paraId="2B436970">
      <w:pPr>
        <w:pStyle w:val="4"/>
        <w:spacing w:before="120" w:after="120" w:line="560" w:lineRule="exact"/>
        <w:ind w:firstLine="0" w:firstLineChars="0"/>
        <w:jc w:val="center"/>
        <w:rPr>
          <w:rFonts w:ascii="仿宋" w:hAnsi="仿宋" w:cs="仿宋"/>
          <w:bCs w:val="0"/>
          <w:sz w:val="32"/>
        </w:rPr>
      </w:pPr>
      <w:bookmarkStart w:id="237" w:name="_Toc19116"/>
      <w:bookmarkStart w:id="238" w:name="_Toc101253394"/>
      <w:bookmarkStart w:id="239" w:name="_Toc32285"/>
      <w:bookmarkStart w:id="240" w:name="_Toc24554"/>
      <w:bookmarkStart w:id="241" w:name="_Toc27485"/>
      <w:bookmarkStart w:id="242" w:name="_Toc85638716"/>
      <w:r>
        <w:rPr>
          <w:rFonts w:hint="eastAsia" w:ascii="仿宋" w:hAnsi="仿宋" w:cs="仿宋"/>
          <w:bCs w:val="0"/>
          <w:sz w:val="32"/>
        </w:rPr>
        <w:t>第一节</w:t>
      </w:r>
      <w:bookmarkEnd w:id="237"/>
      <w:r>
        <w:rPr>
          <w:rFonts w:hint="eastAsia" w:ascii="仿宋" w:hAnsi="仿宋" w:cs="仿宋"/>
          <w:bCs w:val="0"/>
          <w:sz w:val="32"/>
        </w:rPr>
        <w:t xml:space="preserve"> </w:t>
      </w:r>
      <w:r>
        <w:rPr>
          <w:rFonts w:ascii="仿宋" w:hAnsi="仿宋" w:cs="仿宋"/>
          <w:bCs w:val="0"/>
          <w:sz w:val="32"/>
        </w:rPr>
        <w:t xml:space="preserve"> </w:t>
      </w:r>
      <w:r>
        <w:rPr>
          <w:rFonts w:hint="eastAsia" w:ascii="仿宋" w:hAnsi="仿宋" w:cs="仿宋"/>
          <w:bCs w:val="0"/>
          <w:sz w:val="32"/>
        </w:rPr>
        <w:t>精简项目审批流程，优化管控效力</w:t>
      </w:r>
      <w:bookmarkEnd w:id="238"/>
      <w:bookmarkEnd w:id="239"/>
      <w:bookmarkEnd w:id="240"/>
      <w:bookmarkEnd w:id="241"/>
      <w:bookmarkEnd w:id="242"/>
    </w:p>
    <w:p w14:paraId="02F9BEC1">
      <w:pPr>
        <w:ind w:firstLine="602" w:firstLineChars="200"/>
        <w:rPr>
          <w:rFonts w:ascii="仿宋" w:hAnsi="仿宋" w:eastAsia="仿宋" w:cs="仿宋"/>
          <w:kern w:val="0"/>
          <w:sz w:val="32"/>
          <w:szCs w:val="32"/>
          <w:lang w:bidi="zh-CN"/>
        </w:rPr>
      </w:pPr>
      <w:r>
        <w:rPr>
          <w:rFonts w:hint="eastAsia" w:ascii="仿宋" w:hAnsi="仿宋" w:eastAsia="仿宋" w:cs="仿宋"/>
          <w:b/>
          <w:bCs/>
          <w:sz w:val="30"/>
          <w:szCs w:val="30"/>
          <w:lang w:bidi="zh-CN"/>
        </w:rPr>
        <w:t>一、</w:t>
      </w:r>
      <w:r>
        <w:rPr>
          <w:rFonts w:hint="eastAsia" w:ascii="仿宋" w:hAnsi="仿宋" w:eastAsia="仿宋" w:cs="仿宋"/>
          <w:b/>
          <w:bCs/>
          <w:kern w:val="0"/>
          <w:sz w:val="32"/>
          <w:szCs w:val="32"/>
          <w:lang w:val="zh-CN" w:bidi="zh-CN"/>
        </w:rPr>
        <w:t>进一步深化环评审批制度改革</w:t>
      </w:r>
    </w:p>
    <w:p w14:paraId="6C09797E">
      <w:pPr>
        <w:ind w:firstLine="640" w:firstLineChars="200"/>
        <w:rPr>
          <w:rFonts w:ascii="仿宋" w:hAnsi="仿宋" w:eastAsia="仿宋" w:cs="仿宋"/>
          <w:kern w:val="0"/>
          <w:sz w:val="32"/>
          <w:szCs w:val="32"/>
          <w:lang w:val="zh-CN" w:bidi="zh-CN"/>
        </w:rPr>
      </w:pPr>
      <w:r>
        <w:rPr>
          <w:rFonts w:hint="eastAsia" w:ascii="仿宋" w:hAnsi="仿宋" w:eastAsia="仿宋" w:cs="仿宋"/>
          <w:kern w:val="0"/>
          <w:sz w:val="32"/>
          <w:szCs w:val="32"/>
          <w:lang w:val="zh-CN" w:bidi="zh-CN"/>
        </w:rPr>
        <w:t>进一步扩大环评豁免范围，扩大环评行政审批告知承诺实施范围，实现即来即办，优化环评公众参与，建立重大项目环评审批绿色通道。</w:t>
      </w:r>
    </w:p>
    <w:p w14:paraId="00F46DA4">
      <w:pPr>
        <w:ind w:firstLine="643" w:firstLineChars="200"/>
        <w:rPr>
          <w:rFonts w:ascii="仿宋" w:hAnsi="仿宋" w:eastAsia="仿宋" w:cs="仿宋"/>
          <w:b/>
          <w:sz w:val="32"/>
          <w:szCs w:val="32"/>
        </w:rPr>
      </w:pPr>
      <w:r>
        <w:rPr>
          <w:rFonts w:hint="eastAsia" w:ascii="仿宋" w:hAnsi="仿宋" w:eastAsia="仿宋" w:cs="仿宋"/>
          <w:b/>
          <w:sz w:val="32"/>
          <w:szCs w:val="32"/>
        </w:rPr>
        <w:t>二、不断提升产业园区规划环评效能</w:t>
      </w:r>
    </w:p>
    <w:p w14:paraId="4B645C71">
      <w:pPr>
        <w:ind w:firstLine="640" w:firstLineChars="200"/>
        <w:rPr>
          <w:rFonts w:ascii="仿宋" w:hAnsi="仿宋" w:eastAsia="仿宋" w:cs="仿宋"/>
          <w:kern w:val="0"/>
          <w:sz w:val="32"/>
          <w:szCs w:val="32"/>
          <w:lang w:val="zh-CN" w:bidi="zh-CN"/>
        </w:rPr>
      </w:pPr>
      <w:r>
        <w:rPr>
          <w:rFonts w:hint="eastAsia" w:ascii="仿宋" w:hAnsi="仿宋" w:eastAsia="仿宋" w:cs="仿宋"/>
          <w:kern w:val="0"/>
          <w:sz w:val="32"/>
          <w:szCs w:val="32"/>
          <w:lang w:val="zh-CN" w:bidi="zh-CN"/>
        </w:rPr>
        <w:t>按照生态环境部《关于进一步加强产业园区规划环境影响评价工作的意见》工作部署，开展产业园区规划环评试点工作是新形势下落实环评改革要求的重要举措，旨在统筹“三线一单”、规划环评、项目环评和排污许可工作的联动关系，规划环评在联动中起着承上启下的作用，即通过向上与生态环境分区管控体系衔接，向下指导入园建设项目环评改革，进而促进加强园区的规划监管，达到总体提升环评效能，强化源头管控和优化营商环境的环评改革目标。</w:t>
      </w:r>
    </w:p>
    <w:p w14:paraId="3C1334C0">
      <w:pPr>
        <w:pStyle w:val="4"/>
        <w:spacing w:before="120" w:after="120" w:line="560" w:lineRule="exact"/>
        <w:ind w:firstLine="0" w:firstLineChars="0"/>
        <w:jc w:val="center"/>
        <w:rPr>
          <w:rFonts w:ascii="仿宋" w:hAnsi="仿宋" w:cs="仿宋"/>
          <w:bCs w:val="0"/>
          <w:sz w:val="32"/>
        </w:rPr>
      </w:pPr>
      <w:bookmarkStart w:id="243" w:name="_Toc16504"/>
      <w:bookmarkStart w:id="244" w:name="_Toc85638717"/>
      <w:bookmarkStart w:id="245" w:name="_Toc10993"/>
      <w:bookmarkStart w:id="246" w:name="_Toc6330"/>
      <w:bookmarkStart w:id="247" w:name="_Toc12681"/>
      <w:bookmarkStart w:id="248" w:name="_Toc101253395"/>
      <w:r>
        <w:rPr>
          <w:rFonts w:hint="eastAsia" w:ascii="仿宋" w:hAnsi="仿宋" w:cs="仿宋"/>
          <w:bCs w:val="0"/>
          <w:sz w:val="32"/>
        </w:rPr>
        <w:t xml:space="preserve">第二节 </w:t>
      </w:r>
      <w:r>
        <w:rPr>
          <w:rFonts w:ascii="仿宋" w:hAnsi="仿宋" w:cs="仿宋"/>
          <w:bCs w:val="0"/>
          <w:sz w:val="32"/>
        </w:rPr>
        <w:t xml:space="preserve"> </w:t>
      </w:r>
      <w:r>
        <w:rPr>
          <w:rFonts w:hint="eastAsia" w:ascii="仿宋" w:hAnsi="仿宋" w:cs="仿宋"/>
          <w:bCs w:val="0"/>
          <w:sz w:val="32"/>
        </w:rPr>
        <w:t>改革创新生态环境机制</w:t>
      </w:r>
      <w:bookmarkEnd w:id="243"/>
      <w:bookmarkEnd w:id="244"/>
      <w:bookmarkEnd w:id="245"/>
      <w:bookmarkEnd w:id="246"/>
      <w:bookmarkEnd w:id="247"/>
      <w:bookmarkEnd w:id="248"/>
    </w:p>
    <w:p w14:paraId="76A1C7C8">
      <w:pPr>
        <w:ind w:firstLine="643" w:firstLineChars="200"/>
        <w:rPr>
          <w:rFonts w:ascii="仿宋" w:hAnsi="仿宋" w:eastAsia="仿宋" w:cs="仿宋"/>
          <w:b/>
          <w:sz w:val="32"/>
          <w:szCs w:val="32"/>
        </w:rPr>
      </w:pPr>
      <w:r>
        <w:rPr>
          <w:rFonts w:hint="eastAsia" w:ascii="仿宋" w:hAnsi="仿宋" w:eastAsia="仿宋" w:cs="仿宋"/>
          <w:b/>
          <w:sz w:val="32"/>
          <w:szCs w:val="32"/>
        </w:rPr>
        <w:t>一、健全生态环境领导责任</w:t>
      </w:r>
    </w:p>
    <w:p w14:paraId="4A494CD7">
      <w:pPr>
        <w:ind w:firstLine="640" w:firstLineChars="200"/>
        <w:rPr>
          <w:rFonts w:ascii="仿宋" w:hAnsi="仿宋" w:eastAsia="仿宋" w:cs="仿宋"/>
          <w:kern w:val="0"/>
          <w:sz w:val="32"/>
          <w:szCs w:val="32"/>
          <w:lang w:val="zh-CN" w:bidi="zh-CN"/>
        </w:rPr>
      </w:pPr>
      <w:r>
        <w:rPr>
          <w:rFonts w:hint="eastAsia" w:ascii="仿宋" w:hAnsi="仿宋" w:eastAsia="仿宋" w:cs="仿宋"/>
          <w:kern w:val="0"/>
          <w:sz w:val="32"/>
          <w:szCs w:val="32"/>
          <w:lang w:val="zh-CN" w:bidi="zh-CN"/>
        </w:rPr>
        <w:t>贯彻落实《环境保护督察方案（试行）》关于生态环保工作“党政同责、一岗双责”的要求，明确区党委和政府对辖区内生态环境保护工作负责的具体领域，规定党政主要负责人均承担生态环境保护第一责任人的职责；明确除了分管环保的各级领导和环保部门负责人外的其他班子成员和有关部门负责人应履行的生态环境保护具体职责范围。</w:t>
      </w:r>
    </w:p>
    <w:p w14:paraId="4C4059D9">
      <w:pPr>
        <w:widowControl/>
        <w:spacing w:before="159" w:after="159"/>
        <w:ind w:firstLine="602" w:firstLineChars="200"/>
        <w:rPr>
          <w:rFonts w:ascii="仿宋" w:hAnsi="仿宋" w:eastAsia="仿宋" w:cs="仿宋"/>
          <w:b/>
          <w:bCs/>
          <w:sz w:val="32"/>
          <w:szCs w:val="32"/>
          <w:shd w:val="clear" w:color="auto" w:fill="FFFFFF"/>
        </w:rPr>
      </w:pPr>
      <w:r>
        <w:rPr>
          <w:rFonts w:hint="eastAsia" w:ascii="仿宋" w:hAnsi="仿宋" w:eastAsia="仿宋" w:cs="仿宋"/>
          <w:b/>
          <w:bCs/>
          <w:sz w:val="30"/>
          <w:szCs w:val="30"/>
        </w:rPr>
        <w:t>二、</w:t>
      </w:r>
      <w:r>
        <w:rPr>
          <w:rFonts w:hint="eastAsia" w:ascii="仿宋" w:hAnsi="仿宋" w:eastAsia="仿宋" w:cs="仿宋"/>
          <w:b/>
          <w:bCs/>
          <w:sz w:val="32"/>
          <w:szCs w:val="32"/>
          <w:shd w:val="clear" w:color="auto" w:fill="FFFFFF"/>
        </w:rPr>
        <w:t>网格化现代环境监管体系</w:t>
      </w:r>
    </w:p>
    <w:p w14:paraId="5F628271">
      <w:pPr>
        <w:pStyle w:val="26"/>
        <w:spacing w:after="0" w:line="56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健全完善辖区二级网格-三级网格-专职网格员的管理体系，全区所有污染源以各三级网格为单位纳入网格化污染源台账,录入网格监管平台,实施动态监管，</w:t>
      </w:r>
      <w:r>
        <w:rPr>
          <w:rFonts w:hint="eastAsia" w:ascii="仿宋" w:hAnsi="仿宋" w:eastAsia="仿宋" w:cs="仿宋"/>
          <w:kern w:val="0"/>
          <w:sz w:val="32"/>
          <w:szCs w:val="32"/>
          <w:lang w:val="zh-CN"/>
        </w:rPr>
        <w:t>以排污许可制度为着手点，推动建立依法、专业、透明、公开、可问责的现代环境监管体系。</w:t>
      </w:r>
    </w:p>
    <w:p w14:paraId="2E6816A5">
      <w:pPr>
        <w:ind w:firstLine="643" w:firstLineChars="200"/>
        <w:rPr>
          <w:rFonts w:ascii="仿宋" w:hAnsi="仿宋" w:eastAsia="仿宋" w:cs="仿宋"/>
          <w:b/>
          <w:bCs/>
          <w:sz w:val="32"/>
          <w:szCs w:val="32"/>
        </w:rPr>
      </w:pPr>
      <w:r>
        <w:rPr>
          <w:rFonts w:hint="eastAsia" w:ascii="仿宋" w:hAnsi="仿宋" w:eastAsia="仿宋" w:cs="仿宋"/>
          <w:b/>
          <w:bCs/>
          <w:sz w:val="32"/>
          <w:szCs w:val="32"/>
        </w:rPr>
        <w:t>三、健全环境信息依法披露</w:t>
      </w:r>
    </w:p>
    <w:p w14:paraId="6E0020E7">
      <w:pPr>
        <w:ind w:firstLine="640" w:firstLineChars="200"/>
        <w:rPr>
          <w:rFonts w:ascii="仿宋" w:hAnsi="仿宋" w:eastAsia="仿宋" w:cs="仿宋"/>
          <w:sz w:val="32"/>
          <w:szCs w:val="32"/>
        </w:rPr>
      </w:pPr>
      <w:r>
        <w:rPr>
          <w:rFonts w:hint="eastAsia" w:ascii="仿宋" w:hAnsi="仿宋" w:eastAsia="仿宋" w:cs="仿宋"/>
          <w:sz w:val="32"/>
          <w:szCs w:val="32"/>
        </w:rPr>
        <w:t>依托市级企业环境信用评价系统，鼓励第三方机构提供信息披露服务，及时将实施强制性清洁生产审核企业违法排污、弄虚作假监测数据等强制性披露环境信息共享至基础数据库，全面反映企业遵守生态环境法律法规和环境治理情况。</w:t>
      </w:r>
    </w:p>
    <w:p w14:paraId="1B55B518">
      <w:pPr>
        <w:ind w:firstLine="643" w:firstLineChars="200"/>
        <w:rPr>
          <w:rFonts w:ascii="仿宋" w:hAnsi="仿宋" w:eastAsia="仿宋" w:cs="仿宋"/>
          <w:b/>
          <w:bCs/>
          <w:sz w:val="32"/>
          <w:szCs w:val="32"/>
        </w:rPr>
      </w:pPr>
      <w:r>
        <w:rPr>
          <w:rFonts w:hint="eastAsia" w:ascii="仿宋" w:hAnsi="仿宋" w:eastAsia="仿宋" w:cs="仿宋"/>
          <w:b/>
          <w:bCs/>
          <w:sz w:val="32"/>
          <w:szCs w:val="32"/>
        </w:rPr>
        <w:t>四、推进生态环境保护目标责任考核制度</w:t>
      </w:r>
    </w:p>
    <w:p w14:paraId="59B56307">
      <w:pPr>
        <w:ind w:firstLine="640" w:firstLineChars="200"/>
        <w:rPr>
          <w:rFonts w:ascii="仿宋" w:hAnsi="仿宋" w:eastAsia="仿宋" w:cs="仿宋"/>
          <w:sz w:val="32"/>
          <w:szCs w:val="32"/>
        </w:rPr>
      </w:pPr>
      <w:r>
        <w:rPr>
          <w:rFonts w:hint="eastAsia" w:ascii="仿宋" w:hAnsi="仿宋" w:eastAsia="仿宋" w:cs="仿宋"/>
          <w:sz w:val="32"/>
          <w:szCs w:val="32"/>
        </w:rPr>
        <w:t>完善以绿色GDP核算为基础的生态环境目标考核体系。构建完善的生态环境决策、评估、管理、考核等制度体系及温室气体排放、碳排放统计核算体系，将资源消耗、环境损害、生态效益等指标纳入政府考核评价体系。</w:t>
      </w:r>
    </w:p>
    <w:p w14:paraId="5EB86FE9">
      <w:pPr>
        <w:widowControl/>
        <w:spacing w:before="159" w:after="159"/>
        <w:ind w:firstLine="643" w:firstLineChars="200"/>
        <w:rPr>
          <w:rFonts w:ascii="仿宋" w:hAnsi="仿宋" w:eastAsia="仿宋" w:cs="仿宋"/>
          <w:b/>
          <w:bCs/>
          <w:sz w:val="32"/>
          <w:szCs w:val="32"/>
        </w:rPr>
      </w:pPr>
      <w:r>
        <w:rPr>
          <w:rFonts w:hint="eastAsia" w:ascii="仿宋" w:hAnsi="仿宋" w:eastAsia="仿宋" w:cs="仿宋"/>
          <w:b/>
          <w:bCs/>
          <w:sz w:val="32"/>
          <w:szCs w:val="32"/>
          <w:shd w:val="clear" w:color="auto" w:fill="FFFFFF"/>
        </w:rPr>
        <w:t>五、</w:t>
      </w:r>
      <w:r>
        <w:rPr>
          <w:rFonts w:hint="eastAsia" w:ascii="仿宋" w:hAnsi="仿宋" w:eastAsia="仿宋" w:cs="仿宋"/>
          <w:b/>
          <w:bCs/>
          <w:sz w:val="32"/>
          <w:szCs w:val="32"/>
        </w:rPr>
        <w:t>提升环境执法能力</w:t>
      </w:r>
    </w:p>
    <w:p w14:paraId="0EC1025C">
      <w:pPr>
        <w:pStyle w:val="26"/>
        <w:spacing w:after="0" w:line="560" w:lineRule="exact"/>
        <w:ind w:firstLine="640" w:firstLineChars="200"/>
        <w:jc w:val="both"/>
        <w:rPr>
          <w:rFonts w:ascii="仿宋" w:hAnsi="仿宋" w:eastAsia="仿宋" w:cs="仿宋"/>
          <w:kern w:val="0"/>
          <w:sz w:val="32"/>
          <w:szCs w:val="32"/>
        </w:rPr>
      </w:pPr>
      <w:r>
        <w:rPr>
          <w:rFonts w:hint="eastAsia" w:ascii="仿宋" w:hAnsi="仿宋" w:eastAsia="仿宋" w:cs="仿宋"/>
          <w:kern w:val="0"/>
          <w:sz w:val="32"/>
          <w:szCs w:val="32"/>
        </w:rPr>
        <w:t>深化生态环境保护综合行政执法改革，推进“规范执法、公正执法、文明执法”，统筹开展施工噪声等重点领域专项执法行动；坚持执法与普法、检查与帮扶相结合，指导帮助企业提升环境管理水平；积极开展执法培训，全面提升雁塔区生态环境领域执法人员业务能力水平，为雁塔区环境质量改善提供强有力的保障。</w:t>
      </w:r>
    </w:p>
    <w:p w14:paraId="4EB12BD4">
      <w:pPr>
        <w:pStyle w:val="4"/>
        <w:spacing w:before="120" w:after="120" w:line="560" w:lineRule="exact"/>
        <w:ind w:firstLine="0" w:firstLineChars="0"/>
        <w:jc w:val="center"/>
        <w:rPr>
          <w:rFonts w:ascii="仿宋" w:hAnsi="仿宋" w:cs="仿宋"/>
          <w:sz w:val="32"/>
          <w:shd w:val="clear" w:color="auto" w:fill="FFFFFF"/>
        </w:rPr>
      </w:pPr>
      <w:bookmarkStart w:id="249" w:name="_Toc29724"/>
      <w:bookmarkStart w:id="250" w:name="_Toc101253396"/>
      <w:bookmarkStart w:id="251" w:name="_Toc23696"/>
      <w:bookmarkStart w:id="252" w:name="_Toc85638718"/>
      <w:bookmarkStart w:id="253" w:name="_Toc24561"/>
      <w:bookmarkStart w:id="254" w:name="_Toc7306"/>
      <w:bookmarkStart w:id="255" w:name="_Toc14158"/>
      <w:r>
        <w:rPr>
          <w:rFonts w:hint="eastAsia" w:ascii="仿宋" w:hAnsi="仿宋" w:cs="仿宋"/>
          <w:sz w:val="32"/>
          <w:shd w:val="clear" w:color="auto" w:fill="FFFFFF"/>
        </w:rPr>
        <w:t xml:space="preserve">第三节 </w:t>
      </w:r>
      <w:r>
        <w:rPr>
          <w:rFonts w:ascii="仿宋" w:hAnsi="仿宋" w:cs="仿宋"/>
          <w:sz w:val="32"/>
          <w:shd w:val="clear" w:color="auto" w:fill="FFFFFF"/>
        </w:rPr>
        <w:t xml:space="preserve"> </w:t>
      </w:r>
      <w:r>
        <w:rPr>
          <w:rFonts w:hint="eastAsia" w:ascii="仿宋" w:hAnsi="仿宋" w:cs="仿宋"/>
          <w:sz w:val="32"/>
          <w:shd w:val="clear" w:color="auto" w:fill="FFFFFF"/>
        </w:rPr>
        <w:t>完善生态环境监测体系能力建设</w:t>
      </w:r>
      <w:bookmarkEnd w:id="249"/>
      <w:bookmarkEnd w:id="250"/>
      <w:bookmarkEnd w:id="251"/>
      <w:bookmarkEnd w:id="252"/>
      <w:bookmarkEnd w:id="253"/>
      <w:bookmarkEnd w:id="254"/>
    </w:p>
    <w:p w14:paraId="06918583">
      <w:pPr>
        <w:widowControl/>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深入贯彻落实生态环境部《关于推进生态环境监测体系与监测能力现代化的若干意见》、陕西省人民政府《关于推进陕西省生态环境监测体系与监测能力现代化的实施意见》，强化生态环境监测能力，为构建现代生态环境治理体系奠定基础。</w:t>
      </w:r>
    </w:p>
    <w:p w14:paraId="77DC971D">
      <w:pPr>
        <w:widowControl/>
        <w:ind w:firstLine="602" w:firstLineChars="200"/>
        <w:rPr>
          <w:rFonts w:ascii="仿宋" w:hAnsi="仿宋" w:eastAsia="仿宋" w:cs="仿宋"/>
          <w:b/>
          <w:bCs/>
          <w:sz w:val="32"/>
          <w:szCs w:val="32"/>
          <w:shd w:val="clear" w:color="auto" w:fill="FFFFFF"/>
        </w:rPr>
      </w:pPr>
      <w:r>
        <w:rPr>
          <w:rFonts w:hint="eastAsia" w:ascii="仿宋" w:hAnsi="仿宋" w:eastAsia="仿宋" w:cs="仿宋"/>
          <w:b/>
          <w:bCs/>
          <w:sz w:val="30"/>
          <w:szCs w:val="30"/>
        </w:rPr>
        <w:t>一、</w:t>
      </w:r>
      <w:r>
        <w:rPr>
          <w:rFonts w:hint="eastAsia" w:ascii="仿宋" w:hAnsi="仿宋" w:eastAsia="仿宋" w:cs="仿宋"/>
          <w:b/>
          <w:bCs/>
          <w:sz w:val="32"/>
          <w:szCs w:val="32"/>
          <w:shd w:val="clear" w:color="auto" w:fill="FFFFFF"/>
        </w:rPr>
        <w:t>环境质量自动监测网络全覆盖</w:t>
      </w:r>
    </w:p>
    <w:p w14:paraId="447171D0">
      <w:pPr>
        <w:widowControl/>
        <w:ind w:firstLine="640" w:firstLineChars="200"/>
        <w:rPr>
          <w:rFonts w:ascii="仿宋" w:hAnsi="仿宋" w:eastAsia="仿宋" w:cs="仿宋"/>
          <w:sz w:val="32"/>
          <w:szCs w:val="32"/>
        </w:rPr>
      </w:pPr>
      <w:r>
        <w:rPr>
          <w:rFonts w:hint="eastAsia" w:ascii="仿宋" w:hAnsi="仿宋" w:eastAsia="仿宋" w:cs="仿宋"/>
          <w:sz w:val="32"/>
          <w:szCs w:val="32"/>
        </w:rPr>
        <w:t>深入完善小寨国控子站优化，切实加强支撑服务能力，进一步提高空气质量预测能力以及预测准确度；依托市级监测网络体系，探索建立辖区大气光化学监测及颗粒物组分手动监测机制。</w:t>
      </w:r>
    </w:p>
    <w:p w14:paraId="2DF25338">
      <w:pPr>
        <w:widowControl/>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rPr>
        <w:t>完善辖区声环境质量监测体系，</w:t>
      </w:r>
      <w:r>
        <w:rPr>
          <w:rFonts w:hint="eastAsia" w:ascii="仿宋" w:hAnsi="仿宋" w:eastAsia="仿宋" w:cs="仿宋"/>
          <w:sz w:val="32"/>
          <w:szCs w:val="32"/>
          <w:shd w:val="clear" w:color="auto" w:fill="FFFFFF"/>
        </w:rPr>
        <w:t>加强区域环境噪声以及道路交通噪声的日常监测，为生态环境部门规范开展噪声污染防治提供依据。</w:t>
      </w:r>
    </w:p>
    <w:p w14:paraId="1B9EC64B">
      <w:pPr>
        <w:pStyle w:val="27"/>
        <w:spacing w:after="0"/>
        <w:ind w:left="0" w:leftChars="0" w:firstLine="643"/>
        <w:contextualSpacing/>
        <w:rPr>
          <w:rFonts w:ascii="仿宋" w:hAnsi="仿宋" w:eastAsia="仿宋" w:cs="仿宋"/>
          <w:b/>
          <w:bCs/>
          <w:sz w:val="32"/>
          <w:szCs w:val="32"/>
        </w:rPr>
      </w:pPr>
      <w:r>
        <w:rPr>
          <w:rFonts w:hint="eastAsia" w:ascii="仿宋" w:hAnsi="仿宋" w:eastAsia="仿宋" w:cs="仿宋"/>
          <w:b/>
          <w:bCs/>
          <w:sz w:val="32"/>
          <w:szCs w:val="32"/>
        </w:rPr>
        <w:t>二、统筹污染源监测网络</w:t>
      </w:r>
    </w:p>
    <w:p w14:paraId="7489F663">
      <w:pPr>
        <w:pStyle w:val="27"/>
        <w:spacing w:after="0"/>
        <w:ind w:left="0" w:leftChars="0" w:firstLine="640"/>
        <w:contextualSpacing/>
        <w:rPr>
          <w:rFonts w:ascii="仿宋" w:hAnsi="仿宋" w:eastAsia="仿宋" w:cs="仿宋"/>
          <w:sz w:val="32"/>
          <w:szCs w:val="32"/>
        </w:rPr>
      </w:pPr>
      <w:r>
        <w:rPr>
          <w:rFonts w:hint="eastAsia" w:ascii="仿宋" w:hAnsi="仿宋" w:eastAsia="仿宋" w:cs="仿宋"/>
          <w:sz w:val="32"/>
          <w:szCs w:val="32"/>
        </w:rPr>
        <w:t>持续推动污染源监测与排污许可监管联动，辖区内纳入排污许可管理的排污单位应遵守排污许可证规定和有关标准规范，严格执行污染源监测和信息公开制度；疑似土壤污染单位按要求开展土壤和（或）地下水自行监测。</w:t>
      </w:r>
    </w:p>
    <w:p w14:paraId="61627965">
      <w:pPr>
        <w:ind w:left="630"/>
        <w:contextualSpacing/>
        <w:rPr>
          <w:rFonts w:ascii="仿宋" w:hAnsi="仿宋" w:eastAsia="仿宋" w:cs="仿宋"/>
          <w:b/>
          <w:bCs/>
          <w:sz w:val="32"/>
          <w:szCs w:val="32"/>
        </w:rPr>
      </w:pPr>
      <w:r>
        <w:rPr>
          <w:rFonts w:hint="eastAsia" w:ascii="仿宋" w:hAnsi="仿宋" w:eastAsia="仿宋" w:cs="仿宋"/>
          <w:b/>
          <w:bCs/>
          <w:sz w:val="32"/>
          <w:szCs w:val="32"/>
        </w:rPr>
        <w:t>三、加强监测体系质量控制</w:t>
      </w:r>
    </w:p>
    <w:p w14:paraId="38E88A06">
      <w:pPr>
        <w:pStyle w:val="26"/>
        <w:spacing w:after="0" w:line="560" w:lineRule="exact"/>
        <w:ind w:firstLine="600" w:firstLineChars="200"/>
        <w:contextualSpacing/>
        <w:jc w:val="both"/>
        <w:rPr>
          <w:rFonts w:ascii="仿宋" w:hAnsi="仿宋" w:eastAsia="仿宋" w:cs="仿宋"/>
          <w:kern w:val="0"/>
          <w:sz w:val="30"/>
          <w:szCs w:val="30"/>
        </w:rPr>
      </w:pPr>
      <w:r>
        <w:rPr>
          <w:rFonts w:hint="eastAsia" w:ascii="仿宋" w:hAnsi="仿宋" w:eastAsia="仿宋" w:cs="仿宋"/>
          <w:kern w:val="0"/>
          <w:sz w:val="30"/>
          <w:szCs w:val="30"/>
        </w:rPr>
        <w:t>加强辖区监测站人员编制及技术水平，提高监测装备配置现代化水平，以省生态环境大数据平台为支撑，强化监测机构人员活动的全过程质量管理，加强监测数据标准化、规范化管理，确保监测数据结果真实、准确、全面，实现区、市、省级各类监测数据互联互通、集成共享，提高监测资源利用效率。</w:t>
      </w:r>
    </w:p>
    <w:p w14:paraId="00BBBF9F">
      <w:pPr>
        <w:widowControl/>
        <w:ind w:firstLine="643" w:firstLineChars="200"/>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四、应急监测能力建设</w:t>
      </w:r>
    </w:p>
    <w:p w14:paraId="04F277A8">
      <w:pPr>
        <w:pStyle w:val="27"/>
        <w:spacing w:after="0"/>
        <w:ind w:left="0" w:leftChars="0" w:firstLine="600"/>
        <w:contextualSpacing/>
        <w:rPr>
          <w:rFonts w:ascii="仿宋" w:hAnsi="仿宋" w:eastAsia="仿宋" w:cs="仿宋"/>
        </w:rPr>
      </w:pPr>
      <w:r>
        <w:rPr>
          <w:rFonts w:hint="eastAsia" w:ascii="仿宋" w:hAnsi="仿宋" w:eastAsia="仿宋" w:cs="仿宋"/>
          <w:kern w:val="0"/>
          <w:sz w:val="30"/>
          <w:szCs w:val="30"/>
        </w:rPr>
        <w:t>建立健全雁塔区生态环境应急监测管理体系和工作机制，设置专门的部门或人员牵头统筹生态环境应急监测工作，完善区-市-省应急监测协同联动机制；全面</w:t>
      </w:r>
      <w:r>
        <w:rPr>
          <w:rFonts w:hint="eastAsia" w:ascii="仿宋" w:hAnsi="仿宋" w:eastAsia="仿宋" w:cs="仿宋"/>
          <w:kern w:val="0"/>
          <w:sz w:val="30"/>
          <w:szCs w:val="30"/>
          <w:shd w:val="clear" w:color="auto" w:fill="FFFFFF"/>
        </w:rPr>
        <w:t>提升应急监测技术和装备水平，加强应急监测人员能力，快速有效应对突发环境事件。</w:t>
      </w:r>
    </w:p>
    <w:p w14:paraId="5DD20E6A">
      <w:pPr>
        <w:pStyle w:val="4"/>
        <w:spacing w:line="560" w:lineRule="exact"/>
        <w:ind w:firstLine="0" w:firstLineChars="0"/>
        <w:jc w:val="center"/>
        <w:rPr>
          <w:rFonts w:ascii="仿宋" w:hAnsi="仿宋" w:cs="仿宋"/>
          <w:sz w:val="32"/>
          <w:shd w:val="clear" w:color="auto" w:fill="FFFFFF"/>
        </w:rPr>
      </w:pPr>
      <w:bookmarkStart w:id="256" w:name="_Toc15125"/>
      <w:bookmarkStart w:id="257" w:name="_Toc85638719"/>
      <w:bookmarkStart w:id="258" w:name="_Toc30485"/>
      <w:bookmarkStart w:id="259" w:name="_Toc27524"/>
      <w:bookmarkStart w:id="260" w:name="_Toc7881"/>
      <w:bookmarkStart w:id="261" w:name="_Toc101253397"/>
      <w:r>
        <w:rPr>
          <w:rFonts w:hint="eastAsia" w:ascii="仿宋" w:hAnsi="仿宋" w:cs="仿宋"/>
          <w:sz w:val="32"/>
          <w:shd w:val="clear" w:color="auto" w:fill="FFFFFF"/>
        </w:rPr>
        <w:t xml:space="preserve">第四节 </w:t>
      </w:r>
      <w:r>
        <w:rPr>
          <w:rFonts w:ascii="仿宋" w:hAnsi="仿宋" w:cs="仿宋"/>
          <w:sz w:val="32"/>
          <w:shd w:val="clear" w:color="auto" w:fill="FFFFFF"/>
        </w:rPr>
        <w:t xml:space="preserve"> </w:t>
      </w:r>
      <w:r>
        <w:rPr>
          <w:rFonts w:hint="eastAsia" w:ascii="仿宋" w:hAnsi="仿宋" w:cs="仿宋"/>
          <w:sz w:val="32"/>
          <w:shd w:val="clear" w:color="auto" w:fill="FFFFFF"/>
        </w:rPr>
        <w:t>建设智慧环保平台</w:t>
      </w:r>
      <w:bookmarkEnd w:id="255"/>
      <w:bookmarkEnd w:id="256"/>
      <w:bookmarkEnd w:id="257"/>
      <w:bookmarkEnd w:id="258"/>
      <w:bookmarkEnd w:id="259"/>
      <w:bookmarkEnd w:id="260"/>
      <w:bookmarkEnd w:id="261"/>
    </w:p>
    <w:p w14:paraId="3DFBA42A">
      <w:pPr>
        <w:pStyle w:val="27"/>
        <w:spacing w:after="0"/>
        <w:ind w:left="0" w:leftChars="0" w:firstLine="640"/>
        <w:contextualSpacing/>
        <w:rPr>
          <w:rFonts w:ascii="仿宋" w:hAnsi="仿宋" w:eastAsia="仿宋" w:cs="仿宋"/>
        </w:rPr>
      </w:pPr>
      <w:r>
        <w:rPr>
          <w:rFonts w:hint="eastAsia" w:ascii="仿宋" w:hAnsi="仿宋" w:eastAsia="仿宋" w:cs="仿宋"/>
          <w:kern w:val="0"/>
          <w:sz w:val="32"/>
          <w:szCs w:val="32"/>
          <w:lang w:val="zh-CN" w:bidi="zh-CN"/>
        </w:rPr>
        <w:t>科学编制污染源排放清单，接入市级“智慧环保”综合指挥监控平台，开展大气污染在线源解析，全时段关注空气质量变化，及时分析研判，实现预测预报、空气质量数据、重点污染源数据、执法监管等信息的互联共享和动态更新，实现全区空气监测子站全覆盖，实现对环境质量及污染源排放情况的靶向管控。</w:t>
      </w:r>
    </w:p>
    <w:p w14:paraId="0F54E69E">
      <w:pPr>
        <w:rPr>
          <w:rFonts w:ascii="仿宋" w:hAnsi="仿宋" w:eastAsia="仿宋" w:cs="仿宋"/>
        </w:rPr>
      </w:pPr>
    </w:p>
    <w:p w14:paraId="369E814F">
      <w:pPr>
        <w:pStyle w:val="27"/>
        <w:rPr>
          <w:rFonts w:ascii="仿宋" w:hAnsi="仿宋" w:eastAsia="仿宋" w:cs="仿宋"/>
        </w:rPr>
      </w:pPr>
    </w:p>
    <w:bookmarkEnd w:id="121"/>
    <w:bookmarkEnd w:id="122"/>
    <w:bookmarkEnd w:id="123"/>
    <w:bookmarkEnd w:id="124"/>
    <w:bookmarkEnd w:id="125"/>
    <w:bookmarkEnd w:id="126"/>
    <w:bookmarkEnd w:id="127"/>
    <w:bookmarkEnd w:id="128"/>
    <w:bookmarkEnd w:id="129"/>
    <w:bookmarkEnd w:id="130"/>
    <w:p w14:paraId="227F3B9F">
      <w:pPr>
        <w:adjustRightInd w:val="0"/>
        <w:jc w:val="center"/>
        <w:outlineLvl w:val="0"/>
        <w:rPr>
          <w:rFonts w:ascii="仿宋" w:hAnsi="仿宋" w:eastAsia="仿宋" w:cs="仿宋"/>
          <w:b/>
          <w:kern w:val="44"/>
          <w:sz w:val="32"/>
          <w:szCs w:val="32"/>
        </w:rPr>
      </w:pPr>
      <w:r>
        <w:rPr>
          <w:rFonts w:hint="eastAsia" w:ascii="仿宋" w:hAnsi="仿宋" w:eastAsia="仿宋" w:cs="仿宋"/>
          <w:b/>
          <w:sz w:val="32"/>
          <w:szCs w:val="32"/>
        </w:rPr>
        <w:br w:type="page"/>
      </w:r>
      <w:bookmarkStart w:id="262" w:name="_Toc29853"/>
      <w:bookmarkStart w:id="263" w:name="_Toc457484832"/>
      <w:bookmarkStart w:id="264" w:name="_Toc101253398"/>
      <w:bookmarkStart w:id="265" w:name="_Toc466886057"/>
      <w:bookmarkStart w:id="266" w:name="_Toc27571"/>
      <w:bookmarkStart w:id="267" w:name="_Toc15257"/>
      <w:bookmarkStart w:id="268" w:name="_Toc19173"/>
      <w:bookmarkStart w:id="269" w:name="_Toc30402"/>
      <w:bookmarkStart w:id="270" w:name="_Toc17435"/>
      <w:bookmarkStart w:id="271" w:name="_Toc391"/>
      <w:bookmarkStart w:id="272" w:name="_Toc20037"/>
      <w:r>
        <w:rPr>
          <w:rFonts w:hint="eastAsia" w:ascii="仿宋" w:hAnsi="仿宋" w:eastAsia="仿宋" w:cs="仿宋"/>
          <w:b/>
          <w:sz w:val="32"/>
          <w:szCs w:val="32"/>
        </w:rPr>
        <w:t xml:space="preserve">第九章  </w:t>
      </w:r>
      <w:r>
        <w:rPr>
          <w:rFonts w:hint="eastAsia" w:ascii="仿宋" w:hAnsi="仿宋" w:eastAsia="仿宋" w:cs="仿宋"/>
          <w:b/>
          <w:kern w:val="44"/>
          <w:sz w:val="32"/>
          <w:szCs w:val="32"/>
        </w:rPr>
        <w:t>“十四五”生态文明重大工程</w:t>
      </w:r>
      <w:bookmarkEnd w:id="262"/>
      <w:bookmarkEnd w:id="263"/>
      <w:bookmarkEnd w:id="264"/>
      <w:bookmarkEnd w:id="265"/>
      <w:bookmarkEnd w:id="266"/>
      <w:bookmarkEnd w:id="267"/>
      <w:bookmarkEnd w:id="268"/>
      <w:bookmarkEnd w:id="269"/>
      <w:bookmarkEnd w:id="270"/>
      <w:bookmarkEnd w:id="271"/>
      <w:bookmarkEnd w:id="272"/>
      <w:bookmarkStart w:id="273" w:name="_Toc4273"/>
      <w:bookmarkStart w:id="274" w:name="_Toc457484833"/>
    </w:p>
    <w:p w14:paraId="572866B3">
      <w:pPr>
        <w:ind w:firstLine="640" w:firstLineChars="200"/>
        <w:contextualSpacing/>
        <w:rPr>
          <w:rFonts w:ascii="仿宋" w:hAnsi="仿宋" w:eastAsia="仿宋" w:cs="仿宋"/>
          <w:sz w:val="32"/>
          <w:szCs w:val="32"/>
        </w:rPr>
      </w:pPr>
      <w:r>
        <w:rPr>
          <w:rFonts w:hint="eastAsia" w:ascii="仿宋" w:hAnsi="仿宋" w:eastAsia="仿宋" w:cs="仿宋"/>
          <w:sz w:val="32"/>
          <w:szCs w:val="32"/>
        </w:rPr>
        <w:t>围绕规划重点任务，实施对辖区生态文明建设全局具有有重要推进效益、操作性强的重大工程项目。“十四五”期间，计划实施民生工程（</w:t>
      </w:r>
      <w:r>
        <w:rPr>
          <w:rFonts w:ascii="仿宋" w:hAnsi="仿宋" w:eastAsia="仿宋" w:cs="仿宋"/>
          <w:sz w:val="32"/>
          <w:szCs w:val="32"/>
        </w:rPr>
        <w:t>5</w:t>
      </w:r>
      <w:r>
        <w:rPr>
          <w:rFonts w:hint="eastAsia" w:ascii="仿宋" w:hAnsi="仿宋" w:eastAsia="仿宋" w:cs="仿宋"/>
          <w:sz w:val="32"/>
          <w:szCs w:val="32"/>
        </w:rPr>
        <w:t>个项目，投资</w:t>
      </w:r>
      <w:r>
        <w:rPr>
          <w:rFonts w:ascii="仿宋" w:hAnsi="仿宋" w:eastAsia="仿宋" w:cs="仿宋"/>
          <w:sz w:val="32"/>
          <w:szCs w:val="32"/>
        </w:rPr>
        <w:t>24.66</w:t>
      </w:r>
      <w:r>
        <w:rPr>
          <w:rFonts w:hint="eastAsia" w:ascii="仿宋" w:hAnsi="仿宋" w:eastAsia="仿宋" w:cs="仿宋"/>
          <w:sz w:val="32"/>
          <w:szCs w:val="32"/>
        </w:rPr>
        <w:t>亿元）、道路、基础设施工程（</w:t>
      </w:r>
      <w:r>
        <w:rPr>
          <w:rFonts w:ascii="仿宋" w:hAnsi="仿宋" w:eastAsia="仿宋" w:cs="仿宋"/>
          <w:sz w:val="32"/>
          <w:szCs w:val="32"/>
        </w:rPr>
        <w:t>9</w:t>
      </w:r>
      <w:r>
        <w:rPr>
          <w:rFonts w:hint="eastAsia" w:ascii="仿宋" w:hAnsi="仿宋" w:eastAsia="仿宋" w:cs="仿宋"/>
          <w:sz w:val="32"/>
          <w:szCs w:val="32"/>
        </w:rPr>
        <w:t>个项目，</w:t>
      </w:r>
      <w:r>
        <w:rPr>
          <w:rFonts w:ascii="仿宋" w:hAnsi="仿宋" w:eastAsia="仿宋" w:cs="仿宋"/>
          <w:sz w:val="32"/>
          <w:szCs w:val="32"/>
        </w:rPr>
        <w:t>66.56</w:t>
      </w:r>
      <w:r>
        <w:rPr>
          <w:rFonts w:hint="eastAsia" w:ascii="仿宋" w:hAnsi="仿宋" w:eastAsia="仿宋" w:cs="仿宋"/>
          <w:sz w:val="32"/>
          <w:szCs w:val="32"/>
        </w:rPr>
        <w:t>亿元）、城中村改造工程（</w:t>
      </w:r>
      <w:r>
        <w:rPr>
          <w:rFonts w:ascii="仿宋" w:hAnsi="仿宋" w:eastAsia="仿宋" w:cs="仿宋"/>
          <w:sz w:val="32"/>
          <w:szCs w:val="32"/>
        </w:rPr>
        <w:t>10</w:t>
      </w:r>
      <w:r>
        <w:rPr>
          <w:rFonts w:hint="eastAsia" w:ascii="仿宋" w:hAnsi="仿宋" w:eastAsia="仿宋" w:cs="仿宋"/>
          <w:sz w:val="32"/>
          <w:szCs w:val="32"/>
        </w:rPr>
        <w:t>个项目，</w:t>
      </w:r>
      <w:r>
        <w:rPr>
          <w:rFonts w:ascii="仿宋" w:hAnsi="仿宋" w:eastAsia="仿宋" w:cs="仿宋"/>
          <w:sz w:val="32"/>
          <w:szCs w:val="32"/>
        </w:rPr>
        <w:t>744.05</w:t>
      </w:r>
      <w:r>
        <w:rPr>
          <w:rFonts w:hint="eastAsia" w:ascii="仿宋" w:hAnsi="仿宋" w:eastAsia="仿宋" w:cs="仿宋"/>
          <w:sz w:val="32"/>
          <w:szCs w:val="32"/>
        </w:rPr>
        <w:t>亿元）等三大类重大工程建设项目，总投资约8</w:t>
      </w:r>
      <w:r>
        <w:rPr>
          <w:rFonts w:ascii="仿宋" w:hAnsi="仿宋" w:eastAsia="仿宋" w:cs="仿宋"/>
          <w:sz w:val="32"/>
          <w:szCs w:val="32"/>
        </w:rPr>
        <w:t>30.6</w:t>
      </w:r>
      <w:r>
        <w:rPr>
          <w:rFonts w:hint="eastAsia" w:ascii="仿宋" w:hAnsi="仿宋" w:eastAsia="仿宋" w:cs="仿宋"/>
          <w:sz w:val="32"/>
          <w:szCs w:val="32"/>
        </w:rPr>
        <w:t>亿元，具体见附件。</w:t>
      </w:r>
    </w:p>
    <w:p w14:paraId="22AD048D">
      <w:pPr>
        <w:pStyle w:val="3"/>
        <w:adjustRightInd w:val="0"/>
        <w:snapToGrid w:val="0"/>
        <w:spacing w:before="0" w:after="0" w:line="560" w:lineRule="exact"/>
        <w:jc w:val="center"/>
        <w:rPr>
          <w:rFonts w:ascii="仿宋" w:hAnsi="仿宋" w:eastAsia="仿宋" w:cs="仿宋"/>
          <w:sz w:val="32"/>
          <w:szCs w:val="32"/>
        </w:rPr>
      </w:pPr>
      <w:r>
        <w:rPr>
          <w:rFonts w:hint="eastAsia" w:ascii="仿宋" w:hAnsi="仿宋" w:eastAsia="仿宋" w:cs="仿宋"/>
          <w:bCs w:val="0"/>
          <w:sz w:val="32"/>
          <w:szCs w:val="32"/>
        </w:rPr>
        <w:br w:type="page"/>
      </w:r>
      <w:bookmarkStart w:id="275" w:name="_Toc24152"/>
      <w:bookmarkStart w:id="276" w:name="_Toc466886058"/>
      <w:bookmarkStart w:id="277" w:name="_Toc20157"/>
      <w:bookmarkStart w:id="278" w:name="_Toc1885"/>
      <w:bookmarkStart w:id="279" w:name="_Toc101253399"/>
      <w:bookmarkStart w:id="280" w:name="_Toc7554"/>
      <w:bookmarkStart w:id="281" w:name="_Toc29116"/>
      <w:bookmarkStart w:id="282" w:name="_Toc13994"/>
      <w:bookmarkStart w:id="283" w:name="_Toc2117"/>
      <w:r>
        <w:rPr>
          <w:rFonts w:hint="eastAsia" w:ascii="仿宋" w:hAnsi="仿宋" w:eastAsia="仿宋" w:cs="仿宋"/>
          <w:sz w:val="32"/>
          <w:szCs w:val="32"/>
        </w:rPr>
        <w:t xml:space="preserve">第十章  </w:t>
      </w:r>
      <w:r>
        <w:rPr>
          <w:rFonts w:hint="eastAsia" w:ascii="仿宋" w:hAnsi="仿宋" w:eastAsia="仿宋" w:cs="仿宋"/>
          <w:bCs w:val="0"/>
          <w:sz w:val="32"/>
          <w:szCs w:val="32"/>
        </w:rPr>
        <w:t>规划实施保障</w:t>
      </w:r>
      <w:bookmarkEnd w:id="273"/>
      <w:bookmarkEnd w:id="274"/>
      <w:bookmarkEnd w:id="275"/>
      <w:bookmarkEnd w:id="276"/>
      <w:bookmarkEnd w:id="277"/>
      <w:bookmarkEnd w:id="278"/>
      <w:bookmarkEnd w:id="279"/>
      <w:bookmarkEnd w:id="280"/>
      <w:bookmarkEnd w:id="281"/>
      <w:bookmarkEnd w:id="282"/>
      <w:bookmarkEnd w:id="283"/>
    </w:p>
    <w:p w14:paraId="75CA55B3">
      <w:pPr>
        <w:pStyle w:val="4"/>
        <w:adjustRightInd w:val="0"/>
        <w:snapToGrid w:val="0"/>
        <w:spacing w:line="560" w:lineRule="exact"/>
        <w:ind w:firstLine="0" w:firstLineChars="0"/>
        <w:jc w:val="center"/>
        <w:rPr>
          <w:rFonts w:ascii="仿宋" w:hAnsi="仿宋" w:cs="仿宋"/>
          <w:sz w:val="32"/>
        </w:rPr>
      </w:pPr>
      <w:bookmarkStart w:id="284" w:name="_Toc26962"/>
      <w:bookmarkStart w:id="285" w:name="_Toc457484834"/>
      <w:bookmarkStart w:id="286" w:name="_Toc28725"/>
      <w:bookmarkStart w:id="287" w:name="_Toc466886059"/>
      <w:bookmarkStart w:id="288" w:name="_Toc30011"/>
      <w:bookmarkStart w:id="289" w:name="_Toc17926"/>
      <w:bookmarkStart w:id="290" w:name="_Toc27725"/>
      <w:bookmarkStart w:id="291" w:name="_Toc1170"/>
      <w:bookmarkStart w:id="292" w:name="_Toc101253400"/>
      <w:r>
        <w:rPr>
          <w:rFonts w:hint="eastAsia" w:ascii="仿宋" w:hAnsi="仿宋" w:cs="仿宋"/>
          <w:sz w:val="32"/>
        </w:rPr>
        <w:t>第一节  加强组织</w:t>
      </w:r>
      <w:bookmarkEnd w:id="284"/>
      <w:bookmarkEnd w:id="285"/>
      <w:bookmarkEnd w:id="286"/>
      <w:bookmarkEnd w:id="287"/>
      <w:bookmarkEnd w:id="288"/>
      <w:bookmarkEnd w:id="289"/>
      <w:bookmarkEnd w:id="290"/>
      <w:bookmarkEnd w:id="291"/>
      <w:r>
        <w:rPr>
          <w:rFonts w:hint="eastAsia" w:ascii="仿宋" w:hAnsi="仿宋" w:cs="仿宋"/>
          <w:sz w:val="32"/>
        </w:rPr>
        <w:t>领导</w:t>
      </w:r>
      <w:bookmarkEnd w:id="292"/>
    </w:p>
    <w:p w14:paraId="69AFD507">
      <w:pPr>
        <w:widowControl/>
        <w:shd w:val="clear" w:color="auto" w:fill="FFFFFF"/>
        <w:ind w:firstLine="640" w:firstLineChars="200"/>
        <w:rPr>
          <w:rFonts w:ascii="仿宋" w:hAnsi="仿宋" w:eastAsia="仿宋" w:cs="仿宋"/>
          <w:kern w:val="0"/>
          <w:sz w:val="32"/>
          <w:szCs w:val="32"/>
        </w:rPr>
      </w:pPr>
      <w:r>
        <w:rPr>
          <w:rFonts w:hint="eastAsia" w:ascii="仿宋" w:hAnsi="仿宋" w:eastAsia="仿宋" w:cs="仿宋"/>
          <w:kern w:val="0"/>
          <w:sz w:val="32"/>
          <w:szCs w:val="32"/>
        </w:rPr>
        <w:t>为保障“十四五”环保规划的有效实施，必须切实加强规划实施的组织领导，在区委、区政府的统一领导下，在区人大、区政协的监督下，各级各部门要按照规划要求，明确目标，落实责任，抓好规划的组织实施。</w:t>
      </w:r>
    </w:p>
    <w:p w14:paraId="06473984">
      <w:pPr>
        <w:ind w:firstLine="643" w:firstLineChars="200"/>
        <w:rPr>
          <w:rFonts w:ascii="仿宋" w:hAnsi="仿宋" w:eastAsia="仿宋" w:cs="仿宋"/>
          <w:b/>
          <w:bCs/>
          <w:sz w:val="32"/>
          <w:szCs w:val="32"/>
        </w:rPr>
      </w:pPr>
      <w:r>
        <w:rPr>
          <w:rFonts w:hint="eastAsia" w:ascii="仿宋" w:hAnsi="仿宋" w:eastAsia="仿宋" w:cs="仿宋"/>
          <w:b/>
          <w:bCs/>
          <w:sz w:val="32"/>
          <w:szCs w:val="32"/>
        </w:rPr>
        <w:t>一、严格落实环境目标责任制</w:t>
      </w:r>
    </w:p>
    <w:p w14:paraId="10828866">
      <w:pPr>
        <w:widowControl/>
        <w:shd w:val="clear" w:color="auto" w:fill="FFFFFF"/>
        <w:ind w:firstLine="640" w:firstLineChars="200"/>
        <w:rPr>
          <w:rFonts w:ascii="仿宋" w:hAnsi="仿宋" w:eastAsia="仿宋" w:cs="仿宋"/>
          <w:kern w:val="0"/>
          <w:sz w:val="32"/>
          <w:szCs w:val="32"/>
        </w:rPr>
      </w:pPr>
      <w:r>
        <w:rPr>
          <w:rFonts w:hint="eastAsia" w:ascii="仿宋" w:hAnsi="仿宋" w:eastAsia="仿宋" w:cs="仿宋"/>
          <w:kern w:val="0"/>
          <w:sz w:val="32"/>
          <w:szCs w:val="32"/>
        </w:rPr>
        <w:t>各级各部门要把环境保护作为转变发展方式和调整经济结构的重要抓手，作为检验科学发展成效、构建和谐社会的重要标准。进一步优化和完善指标体系和考核办法，探索建立生态文明建设指标体系，将其纳入地方党政领导班子和领导干部综合考评体系。在继续强化污染减排考核同时，建立减排目标着眼环境质量，减排任务立足环境质量、减排考核依据环境质量的责任体系和考核机制，对因监管不力造成重大环境污染事故和生态破坏事件的，严格实施问责制和“一票否决制”。</w:t>
      </w:r>
    </w:p>
    <w:p w14:paraId="6C23D433">
      <w:pPr>
        <w:ind w:firstLine="643" w:firstLineChars="200"/>
        <w:rPr>
          <w:rFonts w:ascii="仿宋" w:hAnsi="仿宋" w:eastAsia="仿宋" w:cs="仿宋"/>
        </w:rPr>
      </w:pPr>
      <w:r>
        <w:rPr>
          <w:rFonts w:hint="eastAsia" w:ascii="仿宋" w:hAnsi="仿宋" w:eastAsia="仿宋" w:cs="仿宋"/>
          <w:b/>
          <w:bCs/>
          <w:sz w:val="32"/>
          <w:szCs w:val="32"/>
        </w:rPr>
        <w:t>二、建立健全生态建设和污染减排绩效评价制度</w:t>
      </w:r>
    </w:p>
    <w:p w14:paraId="74DAF28D">
      <w:pPr>
        <w:widowControl/>
        <w:shd w:val="clear" w:color="auto" w:fill="FFFFFF"/>
        <w:ind w:firstLine="640" w:firstLineChars="200"/>
        <w:rPr>
          <w:rFonts w:ascii="仿宋" w:hAnsi="仿宋" w:eastAsia="仿宋" w:cs="仿宋"/>
          <w:kern w:val="0"/>
          <w:sz w:val="32"/>
          <w:szCs w:val="32"/>
        </w:rPr>
      </w:pPr>
      <w:r>
        <w:rPr>
          <w:rFonts w:hint="eastAsia" w:ascii="仿宋" w:hAnsi="仿宋" w:eastAsia="仿宋" w:cs="仿宋"/>
          <w:kern w:val="0"/>
          <w:sz w:val="32"/>
          <w:szCs w:val="32"/>
        </w:rPr>
        <w:t>明确环境保护与经济发展之间的关系，明确企业治污的主体地位，将发展过程中的环境损益纳入经济社会发展综合评价体系，纳入企业负责人业绩考核内容中，加强评估考核。</w:t>
      </w:r>
    </w:p>
    <w:p w14:paraId="19082380">
      <w:pPr>
        <w:widowControl/>
        <w:ind w:firstLine="640" w:firstLineChars="200"/>
        <w:jc w:val="left"/>
        <w:rPr>
          <w:rFonts w:ascii="仿宋" w:hAnsi="仿宋" w:eastAsia="仿宋" w:cs="仿宋"/>
          <w:sz w:val="30"/>
          <w:szCs w:val="30"/>
        </w:rPr>
      </w:pPr>
      <w:r>
        <w:rPr>
          <w:rFonts w:hint="eastAsia" w:ascii="仿宋" w:hAnsi="仿宋" w:eastAsia="仿宋" w:cs="仿宋"/>
          <w:kern w:val="0"/>
          <w:sz w:val="32"/>
          <w:szCs w:val="32"/>
        </w:rPr>
        <w:t>各级人民政府是规划实施的责任主体，要将规划实施与生态文明建设紧密结合，把规划目标、约束性指标、任务、措施和重点工程纳入本地区国民经济和社会发展规划，制定生态环境保护重点任务和年度目标。</w:t>
      </w:r>
    </w:p>
    <w:p w14:paraId="57A0E558">
      <w:pPr>
        <w:jc w:val="center"/>
        <w:outlineLvl w:val="1"/>
        <w:rPr>
          <w:rFonts w:ascii="仿宋" w:hAnsi="仿宋" w:eastAsia="仿宋" w:cs="仿宋"/>
          <w:b/>
          <w:bCs/>
          <w:sz w:val="32"/>
          <w:szCs w:val="32"/>
        </w:rPr>
      </w:pPr>
      <w:bookmarkStart w:id="293" w:name="_Toc101253401"/>
      <w:bookmarkStart w:id="294" w:name="_Toc20754"/>
      <w:r>
        <w:rPr>
          <w:rFonts w:hint="eastAsia" w:ascii="仿宋" w:hAnsi="仿宋" w:eastAsia="仿宋" w:cs="仿宋"/>
          <w:b/>
          <w:bCs/>
          <w:sz w:val="32"/>
          <w:szCs w:val="32"/>
        </w:rPr>
        <w:t xml:space="preserve">第二节 </w:t>
      </w:r>
      <w:r>
        <w:rPr>
          <w:rFonts w:ascii="仿宋" w:hAnsi="仿宋" w:eastAsia="仿宋" w:cs="仿宋"/>
          <w:b/>
          <w:bCs/>
          <w:sz w:val="32"/>
          <w:szCs w:val="32"/>
        </w:rPr>
        <w:t xml:space="preserve"> </w:t>
      </w:r>
      <w:r>
        <w:rPr>
          <w:rFonts w:hint="eastAsia" w:ascii="仿宋" w:hAnsi="仿宋" w:eastAsia="仿宋" w:cs="仿宋"/>
          <w:b/>
          <w:bCs/>
          <w:sz w:val="32"/>
          <w:szCs w:val="32"/>
        </w:rPr>
        <w:t>强化资金保障</w:t>
      </w:r>
      <w:bookmarkEnd w:id="293"/>
      <w:bookmarkEnd w:id="294"/>
    </w:p>
    <w:p w14:paraId="5721A496">
      <w:pPr>
        <w:ind w:firstLine="643" w:firstLineChars="200"/>
        <w:rPr>
          <w:rFonts w:ascii="仿宋" w:hAnsi="仿宋" w:eastAsia="仿宋" w:cs="仿宋"/>
          <w:b/>
          <w:bCs/>
          <w:sz w:val="32"/>
          <w:szCs w:val="32"/>
        </w:rPr>
      </w:pPr>
      <w:r>
        <w:rPr>
          <w:rFonts w:hint="eastAsia" w:ascii="仿宋" w:hAnsi="仿宋" w:eastAsia="仿宋" w:cs="仿宋"/>
          <w:b/>
          <w:bCs/>
          <w:sz w:val="32"/>
          <w:szCs w:val="32"/>
        </w:rPr>
        <w:t>一、加大财政投入力度</w:t>
      </w:r>
    </w:p>
    <w:p w14:paraId="2877C4DE">
      <w:pPr>
        <w:widowControl/>
        <w:shd w:val="clear" w:color="auto" w:fill="FFFFFF"/>
        <w:ind w:firstLine="640" w:firstLineChars="200"/>
        <w:rPr>
          <w:rFonts w:ascii="仿宋" w:hAnsi="仿宋" w:eastAsia="仿宋" w:cs="仿宋"/>
          <w:kern w:val="0"/>
          <w:sz w:val="28"/>
          <w:szCs w:val="28"/>
        </w:rPr>
      </w:pPr>
      <w:r>
        <w:rPr>
          <w:rFonts w:hint="eastAsia" w:ascii="仿宋" w:hAnsi="仿宋" w:eastAsia="仿宋" w:cs="仿宋"/>
          <w:kern w:val="0"/>
          <w:sz w:val="32"/>
          <w:szCs w:val="32"/>
        </w:rPr>
        <w:t>继续加大政府资金投入，政府要把环境保护作为公共财政支出的重点并逐年增加，加大对污染防治、生态保护和建设、农村环境保护、环保试点示范和环保监测能力建设的投入。各街办、各部门、管委会应积极筹措资金，保证规划重点任务顺利实施。强化企业责任意识，企业纳入“十四五”生态文明建设和污染防治的项目，要按规划目标和进度要求，按时筹集建设资金。</w:t>
      </w:r>
    </w:p>
    <w:p w14:paraId="78B19E12">
      <w:pPr>
        <w:ind w:firstLine="643" w:firstLineChars="200"/>
        <w:rPr>
          <w:rFonts w:ascii="仿宋" w:hAnsi="仿宋" w:eastAsia="仿宋" w:cs="仿宋"/>
          <w:b/>
          <w:bCs/>
          <w:sz w:val="32"/>
          <w:szCs w:val="32"/>
        </w:rPr>
      </w:pPr>
      <w:r>
        <w:rPr>
          <w:rFonts w:hint="eastAsia" w:ascii="仿宋" w:hAnsi="仿宋" w:eastAsia="仿宋" w:cs="仿宋"/>
          <w:b/>
          <w:bCs/>
          <w:sz w:val="32"/>
          <w:szCs w:val="32"/>
        </w:rPr>
        <w:t>二、多渠道筹措资金</w:t>
      </w:r>
    </w:p>
    <w:p w14:paraId="7351C8DF">
      <w:pPr>
        <w:widowControl/>
        <w:ind w:firstLine="640" w:firstLineChars="200"/>
        <w:jc w:val="left"/>
        <w:rPr>
          <w:rFonts w:ascii="仿宋" w:hAnsi="仿宋" w:eastAsia="仿宋" w:cs="仿宋"/>
          <w:sz w:val="30"/>
          <w:szCs w:val="30"/>
        </w:rPr>
      </w:pPr>
      <w:r>
        <w:rPr>
          <w:rFonts w:hint="eastAsia" w:ascii="仿宋" w:hAnsi="仿宋" w:eastAsia="仿宋" w:cs="仿宋"/>
          <w:kern w:val="0"/>
          <w:sz w:val="32"/>
          <w:szCs w:val="32"/>
        </w:rPr>
        <w:t>拓宽融资渠道，积极争取国家、陕西省政策性扶持与财政补助，鼓励和支持社会资本进行生态环境保护建设投资。培育壮大生态保护和环境治理市场主体。鼓励各类投资进入环境保护市场，引导各类创业投资企业、股权投资企业增加投入。深化环保服务试点工作，积极推进环境治理依效付费机制和环境绩效合同服务。</w:t>
      </w:r>
    </w:p>
    <w:p w14:paraId="071F6FE8">
      <w:pPr>
        <w:jc w:val="center"/>
        <w:outlineLvl w:val="1"/>
        <w:rPr>
          <w:rFonts w:ascii="仿宋" w:hAnsi="仿宋" w:eastAsia="仿宋" w:cs="仿宋"/>
          <w:bCs/>
          <w:sz w:val="32"/>
          <w:szCs w:val="32"/>
        </w:rPr>
      </w:pPr>
      <w:bookmarkStart w:id="295" w:name="_Toc32565"/>
      <w:bookmarkStart w:id="296" w:name="_Toc101253402"/>
      <w:r>
        <w:rPr>
          <w:rFonts w:hint="eastAsia" w:ascii="仿宋" w:hAnsi="仿宋" w:eastAsia="仿宋" w:cs="仿宋"/>
          <w:b/>
          <w:bCs/>
          <w:sz w:val="32"/>
          <w:szCs w:val="32"/>
        </w:rPr>
        <w:t xml:space="preserve">第三节 </w:t>
      </w:r>
      <w:r>
        <w:rPr>
          <w:rFonts w:ascii="仿宋" w:hAnsi="仿宋" w:eastAsia="仿宋" w:cs="仿宋"/>
          <w:b/>
          <w:bCs/>
          <w:sz w:val="32"/>
          <w:szCs w:val="32"/>
        </w:rPr>
        <w:t xml:space="preserve"> </w:t>
      </w:r>
      <w:r>
        <w:rPr>
          <w:rFonts w:hint="eastAsia" w:ascii="仿宋" w:hAnsi="仿宋" w:eastAsia="仿宋" w:cs="仿宋"/>
          <w:b/>
          <w:bCs/>
          <w:sz w:val="32"/>
          <w:szCs w:val="32"/>
        </w:rPr>
        <w:t>落实</w:t>
      </w:r>
      <w:bookmarkEnd w:id="295"/>
      <w:r>
        <w:rPr>
          <w:rFonts w:hint="eastAsia" w:ascii="仿宋" w:hAnsi="仿宋" w:eastAsia="仿宋" w:cs="仿宋"/>
          <w:b/>
          <w:bCs/>
          <w:sz w:val="32"/>
          <w:szCs w:val="32"/>
        </w:rPr>
        <w:t>建设项目和规划评估制度</w:t>
      </w:r>
      <w:bookmarkEnd w:id="296"/>
    </w:p>
    <w:p w14:paraId="218968BD">
      <w:pPr>
        <w:widowControl/>
        <w:ind w:firstLine="640" w:firstLineChars="200"/>
        <w:rPr>
          <w:rFonts w:ascii="仿宋" w:hAnsi="仿宋" w:eastAsia="仿宋" w:cs="仿宋"/>
          <w:sz w:val="30"/>
          <w:szCs w:val="30"/>
        </w:rPr>
      </w:pPr>
      <w:r>
        <w:rPr>
          <w:rFonts w:hint="eastAsia" w:ascii="仿宋" w:hAnsi="仿宋" w:eastAsia="仿宋" w:cs="仿宋"/>
          <w:bCs/>
          <w:sz w:val="32"/>
          <w:szCs w:val="32"/>
        </w:rPr>
        <w:t>加强规划实施的定期检查和评估，每年对规划实施情况进行跟踪调度检查，公布规划主要任务实施进展情况、环境指标完成情况，根据评估结果及需求变化，适度调整规划目标和任务。在2023年底和2025年度，分别对规划实施情况进行中期评估和终期考核，评估和考核结果向区委、区政府报告，对社会公布，并作为考核区级各部门、各街办工作绩效的重要内容。</w:t>
      </w:r>
    </w:p>
    <w:p w14:paraId="274C328C">
      <w:pPr>
        <w:jc w:val="center"/>
        <w:outlineLvl w:val="1"/>
        <w:rPr>
          <w:rFonts w:ascii="仿宋" w:hAnsi="仿宋" w:eastAsia="仿宋" w:cs="仿宋"/>
          <w:b/>
          <w:bCs/>
          <w:sz w:val="32"/>
          <w:szCs w:val="32"/>
        </w:rPr>
      </w:pPr>
      <w:bookmarkStart w:id="297" w:name="_Toc29802"/>
      <w:bookmarkStart w:id="298" w:name="_Toc101253403"/>
      <w:r>
        <w:rPr>
          <w:rFonts w:hint="eastAsia" w:ascii="仿宋" w:hAnsi="仿宋" w:eastAsia="仿宋" w:cs="仿宋"/>
          <w:b/>
          <w:bCs/>
          <w:sz w:val="32"/>
          <w:szCs w:val="32"/>
        </w:rPr>
        <w:t xml:space="preserve">第四节 </w:t>
      </w:r>
      <w:r>
        <w:rPr>
          <w:rFonts w:ascii="仿宋" w:hAnsi="仿宋" w:eastAsia="仿宋" w:cs="仿宋"/>
          <w:b/>
          <w:bCs/>
          <w:sz w:val="32"/>
          <w:szCs w:val="32"/>
        </w:rPr>
        <w:t xml:space="preserve"> </w:t>
      </w:r>
      <w:r>
        <w:rPr>
          <w:rFonts w:hint="eastAsia" w:ascii="仿宋" w:hAnsi="仿宋" w:eastAsia="仿宋" w:cs="仿宋"/>
          <w:b/>
          <w:bCs/>
          <w:sz w:val="32"/>
          <w:szCs w:val="32"/>
        </w:rPr>
        <w:t>强化科技保障</w:t>
      </w:r>
      <w:bookmarkEnd w:id="297"/>
      <w:bookmarkEnd w:id="298"/>
    </w:p>
    <w:p w14:paraId="7B4B82C4">
      <w:pPr>
        <w:ind w:firstLine="640" w:firstLineChars="200"/>
        <w:rPr>
          <w:rFonts w:ascii="仿宋" w:hAnsi="仿宋" w:eastAsia="仿宋" w:cs="仿宋"/>
        </w:rPr>
      </w:pPr>
      <w:r>
        <w:rPr>
          <w:rFonts w:hint="eastAsia" w:ascii="仿宋" w:hAnsi="仿宋" w:eastAsia="仿宋" w:cs="仿宋"/>
          <w:sz w:val="32"/>
          <w:szCs w:val="32"/>
        </w:rPr>
        <w:t>依托西安市“智慧环保”综合指挥监控平台，建立完善全区生态环境质量综合监测监控系统，实现预测预报、空气质量数据、重点污染源数据、执法监管等信息的互联共享和动态更新。在资金、技术、人才、管理等方面开展交流与合作。对雁塔区生态环境问题及形成机制，联合高校、科研机构等开展专项研究，为科学管理提供技术支撑。</w:t>
      </w:r>
    </w:p>
    <w:p w14:paraId="3B7CC54E">
      <w:pPr>
        <w:jc w:val="center"/>
        <w:outlineLvl w:val="1"/>
        <w:rPr>
          <w:rFonts w:ascii="仿宋" w:hAnsi="仿宋" w:eastAsia="仿宋" w:cs="仿宋"/>
          <w:b/>
          <w:bCs/>
          <w:sz w:val="32"/>
          <w:szCs w:val="32"/>
        </w:rPr>
      </w:pPr>
      <w:bookmarkStart w:id="299" w:name="_Toc638"/>
      <w:bookmarkStart w:id="300" w:name="_Toc14851"/>
      <w:bookmarkStart w:id="301" w:name="_Toc457484838"/>
      <w:bookmarkStart w:id="302" w:name="_Toc466886063"/>
      <w:bookmarkStart w:id="303" w:name="_Toc30264"/>
      <w:bookmarkStart w:id="304" w:name="_Toc19857"/>
      <w:bookmarkStart w:id="305" w:name="_Toc31471"/>
      <w:bookmarkStart w:id="306" w:name="_Toc15760"/>
      <w:bookmarkStart w:id="307" w:name="_Toc22722"/>
      <w:bookmarkStart w:id="308" w:name="_Toc26713"/>
      <w:bookmarkStart w:id="309" w:name="_Toc22305"/>
      <w:bookmarkStart w:id="310" w:name="_Toc101253404"/>
      <w:r>
        <w:rPr>
          <w:rFonts w:hint="eastAsia" w:ascii="仿宋" w:hAnsi="仿宋" w:eastAsia="仿宋" w:cs="仿宋"/>
          <w:b/>
          <w:bCs/>
          <w:sz w:val="32"/>
          <w:szCs w:val="32"/>
        </w:rPr>
        <w:t>第五节</w:t>
      </w:r>
      <w:bookmarkEnd w:id="299"/>
      <w:bookmarkEnd w:id="300"/>
      <w:bookmarkEnd w:id="301"/>
      <w:bookmarkEnd w:id="302"/>
      <w:bookmarkEnd w:id="303"/>
      <w:bookmarkEnd w:id="304"/>
      <w:bookmarkEnd w:id="305"/>
      <w:bookmarkEnd w:id="306"/>
      <w:bookmarkEnd w:id="307"/>
      <w:bookmarkEnd w:id="308"/>
      <w:r>
        <w:rPr>
          <w:rFonts w:hint="eastAsia" w:ascii="仿宋" w:hAnsi="仿宋" w:eastAsia="仿宋" w:cs="仿宋"/>
          <w:b/>
          <w:bCs/>
          <w:sz w:val="32"/>
          <w:szCs w:val="32"/>
        </w:rPr>
        <w:t xml:space="preserve"> </w:t>
      </w:r>
      <w:r>
        <w:rPr>
          <w:rFonts w:ascii="仿宋" w:hAnsi="仿宋" w:eastAsia="仿宋" w:cs="仿宋"/>
          <w:b/>
          <w:bCs/>
          <w:sz w:val="32"/>
          <w:szCs w:val="32"/>
        </w:rPr>
        <w:t xml:space="preserve"> </w:t>
      </w:r>
      <w:r>
        <w:rPr>
          <w:rFonts w:hint="eastAsia" w:ascii="仿宋" w:hAnsi="仿宋" w:eastAsia="仿宋" w:cs="仿宋"/>
          <w:b/>
          <w:bCs/>
          <w:sz w:val="32"/>
          <w:szCs w:val="32"/>
        </w:rPr>
        <w:t>公众宣传与教育保障</w:t>
      </w:r>
      <w:bookmarkEnd w:id="309"/>
      <w:bookmarkEnd w:id="310"/>
    </w:p>
    <w:p w14:paraId="6E71C47E">
      <w:pPr>
        <w:pStyle w:val="24"/>
        <w:spacing w:before="0" w:beforeAutospacing="0" w:after="0" w:afterAutospacing="0"/>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加强面向不同社会群体的环境宣传教育和培训，大力开展生态环境普法教育和环境警示教育，普及生态环境保护知识，全面提升全民环境意识，不断增强公众环境保护法制观念和维权意识。加强环境道德意识教育，倡导节能式生活方式，改变各种不道德环境行为和不合理消费模式。</w:t>
      </w:r>
    </w:p>
    <w:p w14:paraId="2C536CB5">
      <w:pPr>
        <w:pStyle w:val="24"/>
        <w:spacing w:before="0" w:beforeAutospacing="0" w:after="0" w:afterAutospacing="0"/>
        <w:ind w:firstLine="640" w:firstLineChars="200"/>
        <w:contextualSpacing/>
        <w:jc w:val="both"/>
        <w:rPr>
          <w:rFonts w:ascii="仿宋" w:hAnsi="仿宋" w:eastAsia="仿宋" w:cs="仿宋"/>
          <w:sz w:val="32"/>
          <w:szCs w:val="32"/>
        </w:rPr>
      </w:pPr>
      <w:r>
        <w:rPr>
          <w:rFonts w:hint="eastAsia" w:ascii="仿宋" w:hAnsi="仿宋" w:eastAsia="仿宋" w:cs="仿宋"/>
          <w:sz w:val="32"/>
          <w:szCs w:val="32"/>
        </w:rPr>
        <w:t>加大环境宣传教育机构标准化建设，广泛开展绿色学校、绿色企业、绿色社区、绿色家庭等群众性创建活动，努力形成“人人珍惜环境、保护环境、美化环境”的良好氛围。</w:t>
      </w:r>
    </w:p>
    <w:p w14:paraId="5A6E3BEF">
      <w:pPr>
        <w:widowControl/>
        <w:ind w:firstLine="640" w:firstLineChars="200"/>
        <w:rPr>
          <w:rFonts w:ascii="仿宋" w:hAnsi="仿宋" w:eastAsia="仿宋" w:cs="仿宋"/>
          <w:sz w:val="30"/>
          <w:szCs w:val="30"/>
        </w:rPr>
      </w:pPr>
      <w:r>
        <w:rPr>
          <w:rFonts w:hint="eastAsia" w:ascii="仿宋" w:hAnsi="仿宋" w:eastAsia="仿宋" w:cs="仿宋"/>
          <w:sz w:val="32"/>
          <w:szCs w:val="32"/>
        </w:rPr>
        <w:t>推进和完善公众参与环境保护机制，建立健全全民参与的社会行动体系，走环境保护群众路线，建立环保统一战线。完善公众参与环境监督制度，建立举报奖励机制，保障公众对环境的知情权和参与权。为公众提供环境污染防治法规培训和咨询，邀请其全程参与重要环保执法行动和重大环境污染事件调查。公开曝光环境违法典型案件。</w:t>
      </w:r>
    </w:p>
    <w:p w14:paraId="3B506544">
      <w:pPr>
        <w:widowControl/>
        <w:spacing w:before="100" w:beforeAutospacing="1" w:after="100" w:afterAutospacing="1" w:line="240" w:lineRule="auto"/>
        <w:jc w:val="left"/>
        <w:rPr>
          <w:rFonts w:ascii="仿宋" w:hAnsi="仿宋" w:eastAsia="仿宋" w:cs="仿宋"/>
          <w:sz w:val="32"/>
          <w:szCs w:val="32"/>
        </w:rPr>
        <w:sectPr>
          <w:pgSz w:w="11906" w:h="16838"/>
          <w:pgMar w:top="1701" w:right="1474" w:bottom="1701" w:left="1588" w:header="851" w:footer="992" w:gutter="0"/>
          <w:cols w:space="720" w:num="1"/>
          <w:docGrid w:type="lines" w:linePitch="312" w:charSpace="0"/>
        </w:sectPr>
      </w:pPr>
    </w:p>
    <w:p w14:paraId="38210E93">
      <w:pPr>
        <w:adjustRightInd w:val="0"/>
        <w:snapToGrid w:val="0"/>
        <w:spacing w:line="360" w:lineRule="auto"/>
        <w:outlineLvl w:val="0"/>
        <w:rPr>
          <w:rFonts w:ascii="仿宋" w:hAnsi="仿宋" w:eastAsia="仿宋" w:cs="仿宋"/>
          <w:sz w:val="32"/>
          <w:szCs w:val="32"/>
        </w:rPr>
      </w:pPr>
      <w:bookmarkStart w:id="311" w:name="_Toc101253405"/>
      <w:r>
        <w:rPr>
          <w:rFonts w:hint="eastAsia" w:ascii="仿宋" w:hAnsi="仿宋" w:eastAsia="仿宋" w:cs="仿宋"/>
          <w:sz w:val="32"/>
          <w:szCs w:val="32"/>
        </w:rPr>
        <w:t>附件1“十四五”生态文明建设重大工程</w:t>
      </w:r>
      <w:bookmarkEnd w:id="311"/>
    </w:p>
    <w:p w14:paraId="317701B4">
      <w:pPr>
        <w:keepNext/>
        <w:keepLines/>
        <w:adjustRightInd w:val="0"/>
        <w:snapToGrid w:val="0"/>
        <w:spacing w:line="240" w:lineRule="auto"/>
        <w:jc w:val="center"/>
        <w:outlineLvl w:val="0"/>
        <w:rPr>
          <w:rFonts w:ascii="仿宋" w:hAnsi="仿宋" w:eastAsia="仿宋" w:cs="仿宋"/>
          <w:b/>
          <w:bCs/>
          <w:sz w:val="32"/>
          <w:szCs w:val="32"/>
        </w:rPr>
      </w:pPr>
      <w:bookmarkStart w:id="312" w:name="_Toc451416985"/>
      <w:bookmarkStart w:id="313" w:name="_Toc457484839"/>
      <w:bookmarkStart w:id="314" w:name="_Toc5180"/>
      <w:bookmarkStart w:id="315" w:name="_Toc101253406"/>
      <w:bookmarkStart w:id="316" w:name="_Toc466886064"/>
      <w:bookmarkStart w:id="317" w:name="_Toc98342069"/>
      <w:r>
        <w:rPr>
          <w:rFonts w:hint="eastAsia" w:ascii="仿宋" w:hAnsi="仿宋" w:eastAsia="仿宋" w:cs="仿宋"/>
          <w:b/>
          <w:bCs/>
          <w:sz w:val="32"/>
          <w:szCs w:val="32"/>
        </w:rPr>
        <w:t>“十四五”生态文明建设重大工程</w:t>
      </w:r>
      <w:bookmarkEnd w:id="312"/>
      <w:bookmarkEnd w:id="313"/>
      <w:bookmarkEnd w:id="314"/>
      <w:bookmarkEnd w:id="315"/>
      <w:bookmarkEnd w:id="316"/>
      <w:bookmarkEnd w:id="317"/>
    </w:p>
    <w:tbl>
      <w:tblPr>
        <w:tblStyle w:val="28"/>
        <w:tblW w:w="5217"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893"/>
        <w:gridCol w:w="1349"/>
        <w:gridCol w:w="4366"/>
        <w:gridCol w:w="3162"/>
        <w:gridCol w:w="816"/>
        <w:gridCol w:w="2561"/>
        <w:gridCol w:w="1642"/>
      </w:tblGrid>
      <w:tr w14:paraId="5D4F8B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0" w:hRule="atLeast"/>
          <w:tblHeader/>
        </w:trPr>
        <w:tc>
          <w:tcPr>
            <w:tcW w:w="302"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FABC0F">
            <w:pPr>
              <w:pStyle w:val="24"/>
              <w:widowControl/>
              <w:spacing w:before="0" w:beforeAutospacing="0" w:after="0" w:afterAutospacing="0" w:line="240" w:lineRule="exact"/>
              <w:jc w:val="center"/>
              <w:rPr>
                <w:rFonts w:ascii="仿宋" w:hAnsi="仿宋" w:eastAsia="仿宋" w:cs="仿宋"/>
                <w:szCs w:val="24"/>
              </w:rPr>
            </w:pPr>
            <w:r>
              <w:rPr>
                <w:rStyle w:val="31"/>
                <w:rFonts w:hint="eastAsia" w:ascii="仿宋" w:hAnsi="仿宋" w:eastAsia="仿宋" w:cs="仿宋"/>
              </w:rPr>
              <w:t>序号</w:t>
            </w:r>
          </w:p>
        </w:tc>
        <w:tc>
          <w:tcPr>
            <w:tcW w:w="456"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82621A">
            <w:pPr>
              <w:pStyle w:val="24"/>
              <w:widowControl/>
              <w:spacing w:before="0" w:beforeAutospacing="0" w:after="0" w:afterAutospacing="0" w:line="240" w:lineRule="exact"/>
              <w:jc w:val="center"/>
              <w:rPr>
                <w:rFonts w:ascii="仿宋" w:hAnsi="仿宋" w:eastAsia="仿宋" w:cs="仿宋"/>
                <w:szCs w:val="24"/>
              </w:rPr>
            </w:pPr>
            <w:r>
              <w:rPr>
                <w:rStyle w:val="31"/>
                <w:rFonts w:hint="eastAsia" w:ascii="仿宋" w:hAnsi="仿宋" w:eastAsia="仿宋" w:cs="仿宋"/>
              </w:rPr>
              <w:t>部门</w:t>
            </w:r>
          </w:p>
        </w:tc>
        <w:tc>
          <w:tcPr>
            <w:tcW w:w="1476"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566ED6">
            <w:pPr>
              <w:pStyle w:val="24"/>
              <w:widowControl/>
              <w:spacing w:before="0" w:beforeAutospacing="0" w:after="0" w:afterAutospacing="0" w:line="240" w:lineRule="exact"/>
              <w:jc w:val="center"/>
              <w:rPr>
                <w:rFonts w:ascii="仿宋" w:hAnsi="仿宋" w:eastAsia="仿宋" w:cs="仿宋"/>
                <w:szCs w:val="24"/>
              </w:rPr>
            </w:pPr>
            <w:r>
              <w:rPr>
                <w:rStyle w:val="31"/>
                <w:rFonts w:hint="eastAsia" w:ascii="仿宋" w:hAnsi="仿宋" w:eastAsia="仿宋" w:cs="仿宋"/>
                <w:lang w:eastAsia="zh-CN"/>
              </w:rPr>
              <w:t>项目建设单位及</w:t>
            </w:r>
            <w:r>
              <w:rPr>
                <w:rFonts w:hint="eastAsia" w:ascii="仿宋" w:hAnsi="仿宋" w:eastAsia="仿宋" w:cs="仿宋"/>
                <w:b/>
                <w:bCs/>
                <w:szCs w:val="24"/>
              </w:rPr>
              <w:br w:type="textWrapping"/>
            </w:r>
            <w:r>
              <w:rPr>
                <w:rStyle w:val="31"/>
                <w:rFonts w:hint="eastAsia" w:ascii="仿宋" w:hAnsi="仿宋" w:eastAsia="仿宋" w:cs="仿宋"/>
                <w:lang w:eastAsia="zh-CN"/>
              </w:rPr>
              <w:t>项目名称</w:t>
            </w:r>
          </w:p>
        </w:tc>
        <w:tc>
          <w:tcPr>
            <w:tcW w:w="1069"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77A3E2">
            <w:pPr>
              <w:pStyle w:val="24"/>
              <w:widowControl/>
              <w:spacing w:before="0" w:beforeAutospacing="0" w:after="0" w:afterAutospacing="0" w:line="240" w:lineRule="exact"/>
              <w:jc w:val="center"/>
              <w:rPr>
                <w:rFonts w:ascii="仿宋" w:hAnsi="仿宋" w:eastAsia="仿宋" w:cs="仿宋"/>
                <w:szCs w:val="24"/>
              </w:rPr>
            </w:pPr>
            <w:r>
              <w:rPr>
                <w:rStyle w:val="31"/>
                <w:rFonts w:hint="eastAsia" w:ascii="仿宋" w:hAnsi="仿宋" w:eastAsia="仿宋" w:cs="仿宋"/>
              </w:rPr>
              <w:t>项目建设内容</w:t>
            </w:r>
          </w:p>
        </w:tc>
        <w:tc>
          <w:tcPr>
            <w:tcW w:w="276"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572BEC">
            <w:pPr>
              <w:pStyle w:val="24"/>
              <w:widowControl/>
              <w:spacing w:before="0" w:beforeAutospacing="0" w:after="0" w:afterAutospacing="0" w:line="240" w:lineRule="exact"/>
              <w:jc w:val="center"/>
              <w:rPr>
                <w:rFonts w:ascii="仿宋" w:hAnsi="仿宋" w:eastAsia="仿宋" w:cs="仿宋"/>
                <w:szCs w:val="24"/>
              </w:rPr>
            </w:pPr>
            <w:r>
              <w:rPr>
                <w:rStyle w:val="31"/>
                <w:rFonts w:hint="eastAsia" w:ascii="仿宋" w:hAnsi="仿宋" w:eastAsia="仿宋" w:cs="仿宋"/>
              </w:rPr>
              <w:t>建设周期</w:t>
            </w:r>
          </w:p>
        </w:tc>
        <w:tc>
          <w:tcPr>
            <w:tcW w:w="866"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DFD7E1">
            <w:pPr>
              <w:pStyle w:val="24"/>
              <w:widowControl/>
              <w:spacing w:before="0" w:beforeAutospacing="0" w:after="0" w:afterAutospacing="0" w:line="240" w:lineRule="exact"/>
              <w:jc w:val="center"/>
              <w:rPr>
                <w:rFonts w:ascii="仿宋" w:hAnsi="仿宋" w:eastAsia="仿宋" w:cs="仿宋"/>
                <w:szCs w:val="24"/>
              </w:rPr>
            </w:pPr>
            <w:r>
              <w:rPr>
                <w:rStyle w:val="31"/>
                <w:rFonts w:hint="eastAsia" w:ascii="仿宋" w:hAnsi="仿宋" w:eastAsia="仿宋" w:cs="仿宋"/>
              </w:rPr>
              <w:t>项目地址</w:t>
            </w:r>
          </w:p>
        </w:tc>
        <w:tc>
          <w:tcPr>
            <w:tcW w:w="555"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6C8F67">
            <w:pPr>
              <w:pStyle w:val="24"/>
              <w:widowControl/>
              <w:spacing w:before="0" w:beforeAutospacing="0" w:after="0" w:afterAutospacing="0" w:line="240" w:lineRule="exact"/>
              <w:jc w:val="center"/>
              <w:rPr>
                <w:rFonts w:ascii="仿宋" w:hAnsi="仿宋" w:eastAsia="仿宋" w:cs="仿宋"/>
                <w:szCs w:val="24"/>
              </w:rPr>
            </w:pPr>
            <w:r>
              <w:rPr>
                <w:rStyle w:val="31"/>
                <w:rFonts w:hint="eastAsia" w:ascii="仿宋" w:hAnsi="仿宋" w:eastAsia="仿宋" w:cs="仿宋"/>
              </w:rPr>
              <w:t>总投资（万元）</w:t>
            </w:r>
          </w:p>
        </w:tc>
      </w:tr>
      <w:tr w14:paraId="4E0471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tblHead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37784A91">
            <w:pPr>
              <w:widowControl/>
              <w:spacing w:line="240" w:lineRule="exact"/>
              <w:jc w:val="left"/>
              <w:rPr>
                <w:rFonts w:ascii="仿宋" w:hAnsi="仿宋" w:eastAsia="仿宋" w:cs="仿宋"/>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294EB22E">
            <w:pPr>
              <w:widowControl/>
              <w:spacing w:line="240" w:lineRule="exact"/>
              <w:jc w:val="left"/>
              <w:rPr>
                <w:rFonts w:ascii="仿宋" w:hAnsi="仿宋" w:eastAsia="仿宋" w:cs="仿宋"/>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18C8EBA6">
            <w:pPr>
              <w:widowControl/>
              <w:spacing w:line="240" w:lineRule="exact"/>
              <w:jc w:val="left"/>
              <w:rPr>
                <w:rFonts w:ascii="仿宋" w:hAnsi="仿宋" w:eastAsia="仿宋" w:cs="仿宋"/>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34962D97">
            <w:pPr>
              <w:widowControl/>
              <w:spacing w:line="240" w:lineRule="exact"/>
              <w:jc w:val="left"/>
              <w:rPr>
                <w:rFonts w:ascii="仿宋" w:hAnsi="仿宋" w:eastAsia="仿宋" w:cs="仿宋"/>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99F04F9">
            <w:pPr>
              <w:widowControl/>
              <w:spacing w:line="240" w:lineRule="exact"/>
              <w:jc w:val="left"/>
              <w:rPr>
                <w:rFonts w:ascii="仿宋" w:hAnsi="仿宋" w:eastAsia="仿宋" w:cs="仿宋"/>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7EAC0573">
            <w:pPr>
              <w:widowControl/>
              <w:spacing w:line="240" w:lineRule="exact"/>
              <w:jc w:val="left"/>
              <w:rPr>
                <w:rFonts w:ascii="仿宋" w:hAnsi="仿宋" w:eastAsia="仿宋" w:cs="仿宋"/>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2C17025">
            <w:pPr>
              <w:widowControl/>
              <w:spacing w:line="240" w:lineRule="exact"/>
              <w:jc w:val="left"/>
              <w:rPr>
                <w:rFonts w:ascii="仿宋" w:hAnsi="仿宋" w:eastAsia="仿宋" w:cs="仿宋"/>
                <w:kern w:val="0"/>
                <w:sz w:val="24"/>
                <w:szCs w:val="24"/>
              </w:rPr>
            </w:pPr>
          </w:p>
        </w:tc>
      </w:tr>
      <w:tr w14:paraId="3B1BF0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758"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C84E4F">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一</w:t>
            </w:r>
          </w:p>
        </w:tc>
        <w:tc>
          <w:tcPr>
            <w:tcW w:w="3687" w:type="pct"/>
            <w:gridSpan w:val="4"/>
            <w:tcBorders>
              <w:top w:val="nil"/>
              <w:left w:val="nil"/>
              <w:bottom w:val="single" w:color="auto" w:sz="8" w:space="0"/>
              <w:right w:val="single" w:color="auto" w:sz="8" w:space="0"/>
            </w:tcBorders>
            <w:tcMar>
              <w:top w:w="0" w:type="dxa"/>
              <w:left w:w="108" w:type="dxa"/>
              <w:bottom w:w="0" w:type="dxa"/>
              <w:right w:w="108" w:type="dxa"/>
            </w:tcMar>
            <w:vAlign w:val="center"/>
          </w:tcPr>
          <w:p w14:paraId="20C28756">
            <w:pPr>
              <w:pStyle w:val="24"/>
              <w:widowControl/>
              <w:spacing w:before="0" w:beforeAutospacing="0" w:after="0" w:afterAutospacing="0" w:line="240" w:lineRule="exact"/>
              <w:jc w:val="both"/>
              <w:rPr>
                <w:rFonts w:ascii="仿宋" w:hAnsi="仿宋" w:eastAsia="仿宋" w:cs="仿宋"/>
                <w:szCs w:val="24"/>
              </w:rPr>
            </w:pPr>
            <w:r>
              <w:rPr>
                <w:rStyle w:val="31"/>
                <w:rFonts w:hint="eastAsia" w:ascii="仿宋" w:hAnsi="仿宋" w:eastAsia="仿宋" w:cs="仿宋"/>
              </w:rPr>
              <w:t>民生工程类（5个）</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4A583CB8">
            <w:pPr>
              <w:pStyle w:val="24"/>
              <w:widowControl/>
              <w:spacing w:before="0" w:beforeAutospacing="0" w:after="0" w:afterAutospacing="0" w:line="240" w:lineRule="exact"/>
              <w:jc w:val="center"/>
              <w:rPr>
                <w:rFonts w:ascii="仿宋" w:hAnsi="仿宋" w:eastAsia="仿宋" w:cs="仿宋"/>
                <w:szCs w:val="24"/>
              </w:rPr>
            </w:pPr>
            <w:r>
              <w:rPr>
                <w:rStyle w:val="31"/>
                <w:rFonts w:hint="eastAsia" w:ascii="仿宋" w:hAnsi="仿宋" w:eastAsia="仿宋" w:cs="仿宋"/>
              </w:rPr>
              <w:t>246629</w:t>
            </w:r>
          </w:p>
        </w:tc>
      </w:tr>
      <w:tr w14:paraId="6D8E05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53E5E8">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625F8EA5">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小寨路</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1516A4E5">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西安交通大学医学院第一附属医院肿瘤病房综合楼项目★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747C2AA5">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占地面积3649㎡,建筑面积54646㎡，地上13层，地下3层</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06902C7D">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19-24</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4EE2472B">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雁塔西路277号</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3ACA93BD">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38481</w:t>
            </w:r>
          </w:p>
        </w:tc>
      </w:tr>
      <w:tr w14:paraId="100264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8AD9B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675FEE86">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小寨路</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7111BF4F">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西安市中心血站新业务和培训综合楼</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7F04E0BE">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建筑面积26886㎡，地上建筑面积20465㎡，地下建筑面积6421㎡</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3628CF98">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17-21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57830B20">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朱雀大街407号</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3BFCB43E">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16500</w:t>
            </w:r>
          </w:p>
        </w:tc>
      </w:tr>
      <w:tr w14:paraId="205424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7EFB2E">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3</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4737BD93">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电子城</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0E768CD5">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西安铁锋房地产开发集团有限公司丰硕佳园（经适房）二期项目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2C935B14">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占地86亩，总建筑面积25万㎡其中商业面积1.5万㎡</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1608EBDA">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19-22</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6CE139CF">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子午大道</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6DCEC59A">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40000</w:t>
            </w:r>
          </w:p>
        </w:tc>
      </w:tr>
      <w:tr w14:paraId="469680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8D5F64">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4</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5E3A0765">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漳浒寨</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25380F05">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市房地产经营二公司丈八路廉租房项目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44ACA170">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占地86.7亩，共8栋楼，总建筑面积24.1万㎡，廉租房3509套</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68C7F67F">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14-21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3EBD9D03">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大寨村</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6E248E0D">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141000</w:t>
            </w:r>
          </w:p>
        </w:tc>
      </w:tr>
      <w:tr w14:paraId="36B934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D9644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5</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4B419CF2">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雁塔区民政局</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2243C2C1">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雁塔区养老服务发展指导中心</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75446769">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项目建筑面积为20345㎡，实用面积为17134㎡，内设科技养老、文化养老、健康养老三大板块。</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5644B302">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17D89769">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雁塔区西沣一路南沈新苑底商</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2C39A245">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10648</w:t>
            </w:r>
          </w:p>
        </w:tc>
      </w:tr>
      <w:tr w14:paraId="566840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758"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9D11C4">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二</w:t>
            </w:r>
          </w:p>
        </w:tc>
        <w:tc>
          <w:tcPr>
            <w:tcW w:w="3687" w:type="pct"/>
            <w:gridSpan w:val="4"/>
            <w:tcBorders>
              <w:top w:val="nil"/>
              <w:left w:val="nil"/>
              <w:bottom w:val="single" w:color="auto" w:sz="8" w:space="0"/>
              <w:right w:val="single" w:color="auto" w:sz="8" w:space="0"/>
            </w:tcBorders>
            <w:tcMar>
              <w:top w:w="0" w:type="dxa"/>
              <w:left w:w="108" w:type="dxa"/>
              <w:bottom w:w="0" w:type="dxa"/>
              <w:right w:w="108" w:type="dxa"/>
            </w:tcMar>
            <w:vAlign w:val="center"/>
          </w:tcPr>
          <w:p w14:paraId="4B597C90">
            <w:pPr>
              <w:pStyle w:val="24"/>
              <w:widowControl/>
              <w:spacing w:before="0" w:beforeAutospacing="0" w:after="0" w:afterAutospacing="0" w:line="240" w:lineRule="exact"/>
              <w:jc w:val="both"/>
              <w:rPr>
                <w:rFonts w:ascii="仿宋" w:hAnsi="仿宋" w:eastAsia="仿宋" w:cs="仿宋"/>
                <w:szCs w:val="24"/>
              </w:rPr>
            </w:pPr>
            <w:r>
              <w:rPr>
                <w:rStyle w:val="31"/>
                <w:rFonts w:hint="eastAsia" w:ascii="仿宋" w:hAnsi="仿宋" w:eastAsia="仿宋" w:cs="仿宋"/>
                <w:lang w:eastAsia="zh-CN"/>
              </w:rPr>
              <w:t>道路、基础设施（</w:t>
            </w:r>
            <w:r>
              <w:rPr>
                <w:rStyle w:val="31"/>
                <w:rFonts w:ascii="仿宋" w:hAnsi="仿宋" w:eastAsia="仿宋" w:cs="仿宋"/>
                <w:lang w:eastAsia="zh-CN"/>
              </w:rPr>
              <w:t>9</w:t>
            </w:r>
            <w:r>
              <w:rPr>
                <w:rStyle w:val="31"/>
                <w:rFonts w:hint="eastAsia" w:ascii="仿宋" w:hAnsi="仿宋" w:eastAsia="仿宋" w:cs="仿宋"/>
                <w:lang w:eastAsia="zh-CN"/>
              </w:rPr>
              <w:t>个）</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07B6256E">
            <w:pPr>
              <w:pStyle w:val="24"/>
              <w:widowControl/>
              <w:spacing w:before="0" w:beforeAutospacing="0" w:after="0" w:afterAutospacing="0" w:line="240" w:lineRule="exact"/>
              <w:jc w:val="center"/>
              <w:rPr>
                <w:rFonts w:ascii="仿宋" w:hAnsi="仿宋" w:eastAsia="仿宋" w:cs="仿宋"/>
                <w:szCs w:val="24"/>
              </w:rPr>
            </w:pPr>
            <w:r>
              <w:rPr>
                <w:rStyle w:val="31"/>
                <w:rFonts w:ascii="仿宋" w:hAnsi="仿宋" w:eastAsia="仿宋" w:cs="仿宋"/>
              </w:rPr>
              <w:t>665582.74</w:t>
            </w:r>
          </w:p>
        </w:tc>
      </w:tr>
      <w:tr w14:paraId="7D6C5F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73688D">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6</w:t>
            </w:r>
          </w:p>
        </w:tc>
        <w:tc>
          <w:tcPr>
            <w:tcW w:w="456" w:type="pct"/>
            <w:tcBorders>
              <w:top w:val="nil"/>
              <w:left w:val="nil"/>
              <w:bottom w:val="single" w:color="auto" w:sz="8" w:space="0"/>
              <w:right w:val="single" w:color="auto" w:sz="8" w:space="0"/>
            </w:tcBorders>
            <w:tcMar>
              <w:top w:w="0" w:type="dxa"/>
              <w:left w:w="28" w:type="dxa"/>
              <w:bottom w:w="0" w:type="dxa"/>
              <w:right w:w="28" w:type="dxa"/>
            </w:tcMar>
            <w:vAlign w:val="center"/>
          </w:tcPr>
          <w:p w14:paraId="0C3689D1">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pacing w:val="-20"/>
                <w:szCs w:val="24"/>
              </w:rPr>
              <w:t>区住建局</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045BB9F5">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城市交通工程项目市政道路建设</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1D680273">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育苗路、新科南路西延伸2条</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7D0B5B3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138917C3">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育苗路、新科南路西</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1A579C8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990</w:t>
            </w:r>
          </w:p>
        </w:tc>
      </w:tr>
      <w:tr w14:paraId="07FEDE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90F2B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7</w:t>
            </w:r>
          </w:p>
        </w:tc>
        <w:tc>
          <w:tcPr>
            <w:tcW w:w="456" w:type="pct"/>
            <w:tcBorders>
              <w:top w:val="nil"/>
              <w:left w:val="nil"/>
              <w:bottom w:val="single" w:color="auto" w:sz="8" w:space="0"/>
              <w:right w:val="single" w:color="auto" w:sz="8" w:space="0"/>
            </w:tcBorders>
            <w:tcMar>
              <w:top w:w="0" w:type="dxa"/>
              <w:left w:w="28" w:type="dxa"/>
              <w:bottom w:w="0" w:type="dxa"/>
              <w:right w:w="28" w:type="dxa"/>
            </w:tcMar>
            <w:vAlign w:val="center"/>
          </w:tcPr>
          <w:p w14:paraId="649DC09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pacing w:val="-20"/>
                <w:szCs w:val="24"/>
              </w:rPr>
              <w:t>区住建局</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2EE9D88E">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城市交通工程项目次支路建设</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155EBE5E">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北沈纬一街东段、北沈纬二街东段、碧桂园北侧路、大寨北路、化校西侧路5条</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38427C69">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21-22</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34AD2C74">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pacing w:val="-10"/>
                <w:szCs w:val="24"/>
              </w:rPr>
              <w:t>北沈纬一街东段、北沈纬二街东段、碧桂园北侧路、大寨北路、化校西侧路</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4D1A7A4F">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5562</w:t>
            </w:r>
          </w:p>
        </w:tc>
      </w:tr>
      <w:tr w14:paraId="6FBD76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3C30C6">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8</w:t>
            </w:r>
          </w:p>
        </w:tc>
        <w:tc>
          <w:tcPr>
            <w:tcW w:w="456" w:type="pct"/>
            <w:tcBorders>
              <w:top w:val="nil"/>
              <w:left w:val="nil"/>
              <w:bottom w:val="single" w:color="auto" w:sz="8" w:space="0"/>
              <w:right w:val="single" w:color="auto" w:sz="8" w:space="0"/>
            </w:tcBorders>
            <w:tcMar>
              <w:top w:w="0" w:type="dxa"/>
              <w:left w:w="28" w:type="dxa"/>
              <w:bottom w:w="0" w:type="dxa"/>
              <w:right w:w="28" w:type="dxa"/>
            </w:tcMar>
            <w:vAlign w:val="center"/>
          </w:tcPr>
          <w:p w14:paraId="49374EEE">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pacing w:val="-20"/>
                <w:szCs w:val="24"/>
              </w:rPr>
              <w:t>区住建局</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7223E1EA">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朱雀大街火炬传递路线路面黑化美化工程</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2F96F525">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对路面、路灯、城市家具及绿化、标线等进行全面提升改造</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03B099F9">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6AD65F58">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朱雀大街</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21AECB32">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24000</w:t>
            </w:r>
          </w:p>
        </w:tc>
      </w:tr>
      <w:tr w14:paraId="12457F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7"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05BE5E">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9</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2E8E175F">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区城投公司</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0BBFF274">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南三环自行车道建设工程</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2BB72E71">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建设自行车道</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6780FBD9">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1EF24C06">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长安路-太白南路</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0EB4A0EB">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46226</w:t>
            </w:r>
          </w:p>
        </w:tc>
      </w:tr>
      <w:tr w14:paraId="5CCA2C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6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6F1960">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r>
              <w:rPr>
                <w:rFonts w:ascii="仿宋" w:hAnsi="仿宋" w:eastAsia="仿宋" w:cs="仿宋"/>
                <w:szCs w:val="24"/>
              </w:rPr>
              <w:t>0</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282AD430">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区基投公司</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1C0B7B4A">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西安市雁塔区市民服务暨科技文化金融融合中心</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662E9848">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pacing w:val="-10"/>
                <w:szCs w:val="24"/>
              </w:rPr>
              <w:t>占地108亩，拟总建筑面积29.64万㎡，建设包含科技孵化中心、城市金融服务中心、城市文化中心、城市智慧展示中心、综合服务中心等</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7AF1728D">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21-22</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33DC63FB">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雁环路与子午大道交汇处</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40984B44">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240000</w:t>
            </w:r>
          </w:p>
        </w:tc>
      </w:tr>
      <w:tr w14:paraId="4F3E29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4D340F">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r>
              <w:rPr>
                <w:rFonts w:ascii="仿宋" w:hAnsi="仿宋" w:eastAsia="仿宋" w:cs="仿宋"/>
                <w:szCs w:val="24"/>
              </w:rPr>
              <w:t>1</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34995AC5">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区城投公司</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10CD9174">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雁塔区第二、三批老旧小区改造项目★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5C040B0B">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1.第二批老旧小区改造项目79个，总建筑面积188.38万㎡，改造内容涉及道路翻新、供水改造、供电改造、供暖、绿化、外墙改造、屋面改造等。2.第三批老旧小区改造项目36个，总建筑面积73.94万㎡，改造内容涉及道路翻新、水电气暖改造、屋面改造、外墙改造、绿化改造、安防系统等"</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52FDC1ED">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5A578BFA">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雁塔区</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6DF7DE3E">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168396</w:t>
            </w:r>
          </w:p>
        </w:tc>
      </w:tr>
      <w:tr w14:paraId="31DF3D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69"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CEDB8F">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r>
              <w:rPr>
                <w:rFonts w:ascii="仿宋" w:hAnsi="仿宋" w:eastAsia="仿宋" w:cs="仿宋"/>
                <w:szCs w:val="24"/>
              </w:rPr>
              <w:t>2</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1EAC920D">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区城投公司</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09A69C61">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雁塔区城市综合提升建设项目★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2069A711">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项目主要包括对小寨十字人行天桥综合提升改造；对辖区主要道路两侧沿街建筑物外立面、门头牌匾、夜景照明等提升改造；对辖区重要道路沿线城市家具、市政设施、绿化景观等进行全方位提升改造</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5F59BB76">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3418AC6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雁塔区</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4AF5AB16">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50238</w:t>
            </w:r>
          </w:p>
        </w:tc>
      </w:tr>
      <w:tr w14:paraId="4C4121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4669C8">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r>
              <w:rPr>
                <w:rFonts w:ascii="仿宋" w:hAnsi="仿宋" w:eastAsia="仿宋" w:cs="仿宋"/>
                <w:szCs w:val="24"/>
              </w:rPr>
              <w:t>3</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37A06905">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小寨</w:t>
            </w:r>
          </w:p>
          <w:p w14:paraId="54C3A22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管委会</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74036A32">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雁塔文化新天地提升项目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0CCF5162">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项目占地24.84亩，地上为城市绿地，改建为“都市森林公园”，建设部分公益服务设施。地下为商业建筑，面积为3.598万平方米，改造为“大型停车场”，共2层，以平层停车结合机械车位进行改造，改造后停车数量约为980辆，充电桩占比5%以上。</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7EE4D1DA">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13979F94">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雁塔西路与长安南路十字西南角</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165F3841">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83500</w:t>
            </w:r>
          </w:p>
        </w:tc>
      </w:tr>
      <w:tr w14:paraId="1C2D56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69A672">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r>
              <w:rPr>
                <w:rFonts w:ascii="仿宋" w:hAnsi="仿宋" w:eastAsia="仿宋" w:cs="仿宋"/>
                <w:szCs w:val="24"/>
              </w:rPr>
              <w:t>4</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7416175F">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水务局</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264D82C1">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雁塔齐王污水处理厂项目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08AA32EB">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新建一座地下室污水处理厂，建设规模为5万m</w:t>
            </w:r>
            <w:r>
              <w:rPr>
                <w:rFonts w:ascii="仿宋" w:hAnsi="仿宋" w:eastAsia="仿宋" w:cs="仿宋"/>
                <w:szCs w:val="24"/>
                <w:vertAlign w:val="superscript"/>
              </w:rPr>
              <w:t>3</w:t>
            </w:r>
            <w:r>
              <w:rPr>
                <w:rFonts w:ascii="仿宋" w:hAnsi="仿宋" w:eastAsia="仿宋" w:cs="仿宋"/>
                <w:szCs w:val="24"/>
              </w:rPr>
              <w:t>/</w:t>
            </w:r>
            <w:r>
              <w:rPr>
                <w:rFonts w:hint="eastAsia" w:ascii="仿宋" w:hAnsi="仿宋" w:eastAsia="仿宋" w:cs="仿宋"/>
                <w:szCs w:val="24"/>
              </w:rPr>
              <w:t>d，占地面积约4</w:t>
            </w:r>
            <w:r>
              <w:rPr>
                <w:rFonts w:ascii="仿宋" w:hAnsi="仿宋" w:eastAsia="仿宋" w:cs="仿宋"/>
                <w:szCs w:val="24"/>
              </w:rPr>
              <w:t>0</w:t>
            </w:r>
            <w:r>
              <w:rPr>
                <w:rFonts w:hint="eastAsia" w:ascii="仿宋" w:hAnsi="仿宋" w:eastAsia="仿宋" w:cs="仿宋"/>
                <w:szCs w:val="24"/>
              </w:rPr>
              <w:t>亩，服务面积1</w:t>
            </w:r>
            <w:r>
              <w:rPr>
                <w:rFonts w:ascii="仿宋" w:hAnsi="仿宋" w:eastAsia="仿宋" w:cs="仿宋"/>
                <w:szCs w:val="24"/>
              </w:rPr>
              <w:t>4.06</w:t>
            </w:r>
            <w:r>
              <w:rPr>
                <w:rFonts w:hint="eastAsia" w:ascii="仿宋" w:hAnsi="仿宋" w:eastAsia="仿宋" w:cs="仿宋"/>
                <w:szCs w:val="24"/>
              </w:rPr>
              <w:t>km</w:t>
            </w:r>
            <w:r>
              <w:rPr>
                <w:rFonts w:ascii="仿宋" w:hAnsi="仿宋" w:eastAsia="仿宋" w:cs="仿宋"/>
                <w:szCs w:val="24"/>
                <w:vertAlign w:val="superscript"/>
              </w:rPr>
              <w:t>2</w:t>
            </w:r>
            <w:r>
              <w:rPr>
                <w:rFonts w:ascii="仿宋" w:hAnsi="仿宋" w:eastAsia="仿宋" w:cs="仿宋"/>
                <w:szCs w:val="24"/>
              </w:rPr>
              <w:t>.</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6879E628">
            <w:pPr>
              <w:pStyle w:val="24"/>
              <w:widowControl/>
              <w:spacing w:before="0" w:beforeAutospacing="0" w:after="0" w:afterAutospacing="0" w:line="240" w:lineRule="exact"/>
              <w:jc w:val="center"/>
              <w:rPr>
                <w:rFonts w:ascii="仿宋" w:hAnsi="仿宋" w:eastAsia="仿宋" w:cs="仿宋"/>
                <w:szCs w:val="24"/>
              </w:rPr>
            </w:pPr>
            <w:r>
              <w:rPr>
                <w:rFonts w:ascii="仿宋" w:hAnsi="仿宋" w:eastAsia="仿宋" w:cs="仿宋"/>
                <w:szCs w:val="24"/>
              </w:rPr>
              <w:t>19-22</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4BF42B50">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西安市雁塔区皂河东岸与南三环辅道交叉口东侧</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7C7DB789">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4</w:t>
            </w:r>
            <w:r>
              <w:rPr>
                <w:rFonts w:ascii="仿宋" w:hAnsi="仿宋" w:eastAsia="仿宋" w:cs="仿宋"/>
                <w:szCs w:val="24"/>
              </w:rPr>
              <w:t>6670.74</w:t>
            </w:r>
          </w:p>
        </w:tc>
      </w:tr>
      <w:tr w14:paraId="4C38A6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758"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25C2F2">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三</w:t>
            </w:r>
          </w:p>
        </w:tc>
        <w:tc>
          <w:tcPr>
            <w:tcW w:w="3687" w:type="pct"/>
            <w:gridSpan w:val="4"/>
            <w:tcBorders>
              <w:top w:val="nil"/>
              <w:left w:val="nil"/>
              <w:bottom w:val="single" w:color="auto" w:sz="8" w:space="0"/>
              <w:right w:val="single" w:color="auto" w:sz="8" w:space="0"/>
            </w:tcBorders>
            <w:tcMar>
              <w:top w:w="0" w:type="dxa"/>
              <w:left w:w="108" w:type="dxa"/>
              <w:bottom w:w="0" w:type="dxa"/>
              <w:right w:w="108" w:type="dxa"/>
            </w:tcMar>
            <w:vAlign w:val="center"/>
          </w:tcPr>
          <w:p w14:paraId="2262DCC8">
            <w:pPr>
              <w:pStyle w:val="24"/>
              <w:widowControl/>
              <w:spacing w:before="0" w:beforeAutospacing="0" w:after="0" w:afterAutospacing="0" w:line="240" w:lineRule="exact"/>
              <w:jc w:val="both"/>
              <w:rPr>
                <w:rFonts w:ascii="仿宋" w:hAnsi="仿宋" w:eastAsia="仿宋" w:cs="仿宋"/>
                <w:szCs w:val="24"/>
              </w:rPr>
            </w:pPr>
            <w:r>
              <w:rPr>
                <w:rStyle w:val="31"/>
                <w:rFonts w:hint="eastAsia" w:ascii="仿宋" w:hAnsi="仿宋" w:eastAsia="仿宋" w:cs="仿宋"/>
              </w:rPr>
              <w:t>城中村改造（10个）</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5951DE7B">
            <w:pPr>
              <w:pStyle w:val="24"/>
              <w:widowControl/>
              <w:spacing w:before="0" w:beforeAutospacing="0" w:after="0" w:afterAutospacing="0" w:line="240" w:lineRule="exact"/>
              <w:jc w:val="center"/>
              <w:rPr>
                <w:rFonts w:ascii="仿宋" w:hAnsi="仿宋" w:eastAsia="仿宋" w:cs="仿宋"/>
                <w:szCs w:val="24"/>
              </w:rPr>
            </w:pPr>
            <w:r>
              <w:rPr>
                <w:rStyle w:val="31"/>
                <w:rFonts w:hint="eastAsia" w:ascii="仿宋" w:hAnsi="仿宋" w:eastAsia="仿宋" w:cs="仿宋"/>
              </w:rPr>
              <w:t>7440460</w:t>
            </w:r>
          </w:p>
        </w:tc>
      </w:tr>
      <w:tr w14:paraId="526F98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76774E">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r>
              <w:rPr>
                <w:rFonts w:ascii="仿宋" w:hAnsi="仿宋" w:eastAsia="仿宋" w:cs="仿宋"/>
                <w:szCs w:val="24"/>
              </w:rPr>
              <w:t>5</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6D557DAB">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大雁塔</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3E118FDC">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陕西成长地产控股集团青龙寺组团（铁一村、铁二村、观音庙村、王家村）集体土地上棚户区改造项目★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55DFF98A">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占地约882.62亩，总建筑面积约249.51万㎡</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422C69E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16-22</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7983630D">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西影路</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020B7464">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1100000</w:t>
            </w:r>
          </w:p>
        </w:tc>
      </w:tr>
      <w:tr w14:paraId="10999B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14"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6CE5BC">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r>
              <w:rPr>
                <w:rFonts w:ascii="仿宋" w:hAnsi="仿宋" w:eastAsia="仿宋" w:cs="仿宋"/>
                <w:szCs w:val="24"/>
              </w:rPr>
              <w:t>6</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075A9762">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曲江</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40AD118A">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陕西东方加德置业有限公司陆、荣两寨安置楼项目★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2867F2B9">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占地163亩，总建筑面积55万㎡</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3184926F">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14-23</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0DE2BEB2">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荣家寨</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2B2645E4">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180000</w:t>
            </w:r>
          </w:p>
        </w:tc>
      </w:tr>
      <w:tr w14:paraId="784CDC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3C33BE">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r>
              <w:rPr>
                <w:rFonts w:ascii="仿宋" w:hAnsi="仿宋" w:eastAsia="仿宋" w:cs="仿宋"/>
                <w:szCs w:val="24"/>
              </w:rPr>
              <w:t>7</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2D591CF3">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电子城</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10BA7FB4">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陕西联邦股份有限公司双桥头村改造（万象春天）DK8、DK9建设项目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4A443992">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占地410亩，总建筑面积130万㎡</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2DDC3B70">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12-21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0B4D5AA5">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电子正街南延伸段</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0CF9921A">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500000</w:t>
            </w:r>
          </w:p>
        </w:tc>
      </w:tr>
      <w:tr w14:paraId="5EEC3F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51DFF8">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r>
              <w:rPr>
                <w:rFonts w:ascii="仿宋" w:hAnsi="仿宋" w:eastAsia="仿宋" w:cs="仿宋"/>
                <w:szCs w:val="24"/>
              </w:rPr>
              <w:t>8</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6707F37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电子城</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3077264A">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陕西东方加德置业有限公司北沈家桥村城改DK2、DK4建设项目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483388E9">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占地184.6亩，建筑面积59.4万㎡，其中商业面积3.96万㎡</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3328E259">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17-21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32E581F0">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北沈村</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34D66676">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140000</w:t>
            </w:r>
          </w:p>
        </w:tc>
      </w:tr>
      <w:tr w14:paraId="7AC78B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3D105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w:t>
            </w:r>
            <w:r>
              <w:rPr>
                <w:rFonts w:ascii="仿宋" w:hAnsi="仿宋" w:eastAsia="仿宋" w:cs="仿宋"/>
                <w:szCs w:val="24"/>
              </w:rPr>
              <w:t>9</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7028DB0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电子城</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3A822038">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陕西国隆房地产开发有限公司丁家村、白家村棚户区改造安置楼项目★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7C6E1106">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占地264亩，总建筑面100万㎡，其中商业面积9万㎡</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0564ABD5">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20-23</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5849FF26">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丁家村、白家村</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77CC784A">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500000</w:t>
            </w:r>
          </w:p>
        </w:tc>
      </w:tr>
      <w:tr w14:paraId="56AED3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179D99">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w:t>
            </w:r>
            <w:r>
              <w:rPr>
                <w:rFonts w:ascii="仿宋" w:hAnsi="仿宋" w:eastAsia="仿宋" w:cs="仿宋"/>
                <w:szCs w:val="24"/>
              </w:rPr>
              <w:t>0</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711EC3A4">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杜城</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011AB03F">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陕西乾合实业有限公司杜城村城中村改造项目★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12A80A1C">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占地1792亩，总建筑面积510万㎡，商业面积48万㎡</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5FCC5C0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19-28</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5E4B008C">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杜城村</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0A4E02E2">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3040000</w:t>
            </w:r>
          </w:p>
        </w:tc>
      </w:tr>
      <w:tr w14:paraId="3727C9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9BA03C">
            <w:pPr>
              <w:pStyle w:val="24"/>
              <w:widowControl/>
              <w:spacing w:before="0" w:beforeAutospacing="0" w:after="0" w:afterAutospacing="0" w:line="240" w:lineRule="exact"/>
              <w:jc w:val="center"/>
              <w:rPr>
                <w:rFonts w:ascii="仿宋" w:hAnsi="仿宋" w:eastAsia="仿宋" w:cs="仿宋"/>
                <w:szCs w:val="24"/>
              </w:rPr>
            </w:pPr>
            <w:r>
              <w:rPr>
                <w:rFonts w:ascii="仿宋" w:hAnsi="仿宋" w:eastAsia="仿宋" w:cs="仿宋"/>
                <w:szCs w:val="24"/>
              </w:rPr>
              <w:t>21</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6701B940">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杜城</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4E4C81EB">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陕西金地家宜置业有限公司金地城改项目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1D03895D">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占地1214亩，总建筑面积337万㎡，其中商业面积44万㎡</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690B23F8">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11-21</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5365EF51">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西沣路东、南三环南、子午大道西</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58229860">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1380000</w:t>
            </w:r>
          </w:p>
        </w:tc>
      </w:tr>
      <w:tr w14:paraId="01309B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DE4FA4">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w:t>
            </w:r>
            <w:r>
              <w:rPr>
                <w:rFonts w:ascii="仿宋" w:hAnsi="仿宋" w:eastAsia="仿宋" w:cs="仿宋"/>
                <w:szCs w:val="24"/>
              </w:rPr>
              <w:t>2</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4C504E0E">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漳浒寨</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6B423ACD">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西尧头村城中村改造安置楼项目★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16A17716">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村占地60亩，安置楼总建筑面积13.69万㎡</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7397788C">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18-22</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3FEC9878">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西尧头村</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31B382B0">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112000</w:t>
            </w:r>
          </w:p>
        </w:tc>
      </w:tr>
      <w:tr w14:paraId="152641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A17F6D">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w:t>
            </w:r>
            <w:r>
              <w:rPr>
                <w:rFonts w:ascii="仿宋" w:hAnsi="仿宋" w:eastAsia="仿宋" w:cs="仿宋"/>
                <w:szCs w:val="24"/>
              </w:rPr>
              <w:t>3</w:t>
            </w:r>
          </w:p>
        </w:tc>
        <w:tc>
          <w:tcPr>
            <w:tcW w:w="456" w:type="pct"/>
            <w:tcBorders>
              <w:top w:val="nil"/>
              <w:left w:val="nil"/>
              <w:bottom w:val="single" w:color="auto" w:sz="8" w:space="0"/>
              <w:right w:val="single" w:color="auto" w:sz="8" w:space="0"/>
            </w:tcBorders>
            <w:tcMar>
              <w:top w:w="0" w:type="dxa"/>
              <w:left w:w="108" w:type="dxa"/>
              <w:bottom w:w="0" w:type="dxa"/>
              <w:right w:w="108" w:type="dxa"/>
            </w:tcMar>
            <w:vAlign w:val="center"/>
          </w:tcPr>
          <w:p w14:paraId="2E9F0118">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漳浒寨</w:t>
            </w:r>
          </w:p>
        </w:tc>
        <w:tc>
          <w:tcPr>
            <w:tcW w:w="1476" w:type="pct"/>
            <w:tcBorders>
              <w:top w:val="nil"/>
              <w:left w:val="nil"/>
              <w:bottom w:val="single" w:color="auto" w:sz="8" w:space="0"/>
              <w:right w:val="single" w:color="auto" w:sz="8" w:space="0"/>
            </w:tcBorders>
            <w:tcMar>
              <w:top w:w="0" w:type="dxa"/>
              <w:left w:w="108" w:type="dxa"/>
              <w:bottom w:w="0" w:type="dxa"/>
              <w:right w:w="108" w:type="dxa"/>
            </w:tcMar>
            <w:vAlign w:val="center"/>
          </w:tcPr>
          <w:p w14:paraId="10741CB0">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陕西和祥置业有限公司大寨村城中村改造安置楼项目★</w:t>
            </w:r>
          </w:p>
        </w:tc>
        <w:tc>
          <w:tcPr>
            <w:tcW w:w="1069" w:type="pct"/>
            <w:tcBorders>
              <w:top w:val="nil"/>
              <w:left w:val="nil"/>
              <w:bottom w:val="single" w:color="auto" w:sz="8" w:space="0"/>
              <w:right w:val="single" w:color="auto" w:sz="8" w:space="0"/>
            </w:tcBorders>
            <w:tcMar>
              <w:top w:w="0" w:type="dxa"/>
              <w:left w:w="108" w:type="dxa"/>
              <w:bottom w:w="0" w:type="dxa"/>
              <w:right w:w="108" w:type="dxa"/>
            </w:tcMar>
            <w:vAlign w:val="center"/>
          </w:tcPr>
          <w:p w14:paraId="67FB6D28">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占地308亩，总建筑面积122万㎡</w:t>
            </w:r>
          </w:p>
        </w:tc>
        <w:tc>
          <w:tcPr>
            <w:tcW w:w="276" w:type="pct"/>
            <w:tcBorders>
              <w:top w:val="nil"/>
              <w:left w:val="nil"/>
              <w:bottom w:val="single" w:color="auto" w:sz="8" w:space="0"/>
              <w:right w:val="single" w:color="auto" w:sz="8" w:space="0"/>
            </w:tcBorders>
            <w:tcMar>
              <w:top w:w="0" w:type="dxa"/>
              <w:left w:w="108" w:type="dxa"/>
              <w:bottom w:w="0" w:type="dxa"/>
              <w:right w:w="108" w:type="dxa"/>
            </w:tcMar>
            <w:vAlign w:val="center"/>
          </w:tcPr>
          <w:p w14:paraId="38EBF321">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19-23</w:t>
            </w:r>
          </w:p>
        </w:tc>
        <w:tc>
          <w:tcPr>
            <w:tcW w:w="866" w:type="pct"/>
            <w:tcBorders>
              <w:top w:val="nil"/>
              <w:left w:val="nil"/>
              <w:bottom w:val="single" w:color="auto" w:sz="8" w:space="0"/>
              <w:right w:val="single" w:color="auto" w:sz="8" w:space="0"/>
            </w:tcBorders>
            <w:tcMar>
              <w:top w:w="0" w:type="dxa"/>
              <w:left w:w="108" w:type="dxa"/>
              <w:bottom w:w="0" w:type="dxa"/>
              <w:right w:w="108" w:type="dxa"/>
            </w:tcMar>
            <w:vAlign w:val="center"/>
          </w:tcPr>
          <w:p w14:paraId="633983BA">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大寨村</w:t>
            </w:r>
          </w:p>
        </w:tc>
        <w:tc>
          <w:tcPr>
            <w:tcW w:w="555" w:type="pct"/>
            <w:tcBorders>
              <w:top w:val="nil"/>
              <w:left w:val="nil"/>
              <w:bottom w:val="single" w:color="auto" w:sz="8" w:space="0"/>
              <w:right w:val="single" w:color="auto" w:sz="8" w:space="0"/>
            </w:tcBorders>
            <w:tcMar>
              <w:top w:w="0" w:type="dxa"/>
              <w:left w:w="108" w:type="dxa"/>
              <w:bottom w:w="0" w:type="dxa"/>
              <w:right w:w="108" w:type="dxa"/>
            </w:tcMar>
            <w:vAlign w:val="center"/>
          </w:tcPr>
          <w:p w14:paraId="6C70C42E">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260000</w:t>
            </w:r>
          </w:p>
        </w:tc>
      </w:tr>
      <w:tr w14:paraId="6D49A1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6F4586">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w:t>
            </w:r>
            <w:r>
              <w:rPr>
                <w:rFonts w:ascii="仿宋" w:hAnsi="仿宋" w:eastAsia="仿宋" w:cs="仿宋"/>
                <w:szCs w:val="24"/>
              </w:rPr>
              <w:t>4</w:t>
            </w:r>
          </w:p>
        </w:tc>
        <w:tc>
          <w:tcPr>
            <w:tcW w:w="45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107DBB">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未来产业城</w:t>
            </w:r>
          </w:p>
        </w:tc>
        <w:tc>
          <w:tcPr>
            <w:tcW w:w="147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4795F3">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西安市雁塔区未来产业城管理委员会岳旗寨棚户区改造项目</w:t>
            </w:r>
          </w:p>
        </w:tc>
        <w:tc>
          <w:tcPr>
            <w:tcW w:w="106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E1F1E6">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安置用地约133.5亩开发用地约159.9亩;安置房总建筑面积37.89万㎡</w:t>
            </w:r>
          </w:p>
        </w:tc>
        <w:tc>
          <w:tcPr>
            <w:tcW w:w="27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874077">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20-23</w:t>
            </w:r>
          </w:p>
        </w:tc>
        <w:tc>
          <w:tcPr>
            <w:tcW w:w="86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1AFD8D">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雁塔区未来产业城</w:t>
            </w:r>
          </w:p>
        </w:tc>
        <w:tc>
          <w:tcPr>
            <w:tcW w:w="55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685748">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228460</w:t>
            </w:r>
          </w:p>
        </w:tc>
      </w:tr>
      <w:tr w14:paraId="309C49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30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B7EC75">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w:t>
            </w:r>
            <w:r>
              <w:rPr>
                <w:rFonts w:ascii="仿宋" w:hAnsi="仿宋" w:eastAsia="仿宋" w:cs="仿宋"/>
                <w:szCs w:val="24"/>
              </w:rPr>
              <w:t>5</w:t>
            </w:r>
          </w:p>
        </w:tc>
        <w:tc>
          <w:tcPr>
            <w:tcW w:w="45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B883E5">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住建局</w:t>
            </w:r>
          </w:p>
        </w:tc>
        <w:tc>
          <w:tcPr>
            <w:tcW w:w="147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354890">
            <w:pPr>
              <w:pStyle w:val="24"/>
              <w:widowControl/>
              <w:spacing w:before="0" w:beforeAutospacing="0" w:after="0" w:afterAutospacing="0" w:line="240" w:lineRule="exact"/>
              <w:jc w:val="both"/>
              <w:rPr>
                <w:rFonts w:ascii="仿宋" w:hAnsi="仿宋" w:eastAsia="仿宋" w:cs="仿宋"/>
                <w:szCs w:val="24"/>
              </w:rPr>
            </w:pPr>
            <w:r>
              <w:rPr>
                <w:rFonts w:hint="eastAsia" w:ascii="仿宋" w:hAnsi="仿宋" w:eastAsia="仿宋" w:cs="仿宋"/>
                <w:szCs w:val="24"/>
              </w:rPr>
              <w:t>雨污管网分流和市政排水管道混接错点改造工程</w:t>
            </w:r>
          </w:p>
        </w:tc>
        <w:tc>
          <w:tcPr>
            <w:tcW w:w="106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4E8A29">
            <w:pPr>
              <w:pStyle w:val="24"/>
              <w:widowControl/>
              <w:spacing w:before="0" w:beforeAutospacing="0" w:after="0" w:afterAutospacing="0" w:line="240" w:lineRule="exact"/>
              <w:jc w:val="both"/>
              <w:rPr>
                <w:rFonts w:ascii="仿宋" w:hAnsi="仿宋" w:eastAsia="仿宋" w:cs="仿宋"/>
                <w:szCs w:val="24"/>
              </w:rPr>
            </w:pPr>
          </w:p>
        </w:tc>
        <w:tc>
          <w:tcPr>
            <w:tcW w:w="27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952B4E">
            <w:pPr>
              <w:pStyle w:val="24"/>
              <w:widowControl/>
              <w:spacing w:before="0" w:beforeAutospacing="0" w:after="0" w:afterAutospacing="0" w:line="240" w:lineRule="exact"/>
              <w:jc w:val="center"/>
              <w:rPr>
                <w:rFonts w:ascii="仿宋" w:hAnsi="仿宋" w:eastAsia="仿宋" w:cs="仿宋"/>
                <w:szCs w:val="24"/>
              </w:rPr>
            </w:pPr>
            <w:r>
              <w:rPr>
                <w:rFonts w:hint="eastAsia" w:ascii="仿宋" w:hAnsi="仿宋" w:eastAsia="仿宋" w:cs="仿宋"/>
                <w:szCs w:val="24"/>
              </w:rPr>
              <w:t>2</w:t>
            </w:r>
            <w:r>
              <w:rPr>
                <w:rFonts w:ascii="仿宋" w:hAnsi="仿宋" w:eastAsia="仿宋" w:cs="仿宋"/>
                <w:szCs w:val="24"/>
              </w:rPr>
              <w:t>1-25</w:t>
            </w:r>
          </w:p>
        </w:tc>
        <w:tc>
          <w:tcPr>
            <w:tcW w:w="86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928084">
            <w:pPr>
              <w:pStyle w:val="24"/>
              <w:widowControl/>
              <w:spacing w:before="0" w:beforeAutospacing="0" w:after="0" w:afterAutospacing="0" w:line="240" w:lineRule="exact"/>
              <w:jc w:val="center"/>
              <w:rPr>
                <w:rFonts w:ascii="仿宋" w:hAnsi="仿宋" w:eastAsia="仿宋" w:cs="仿宋"/>
                <w:szCs w:val="24"/>
              </w:rPr>
            </w:pPr>
          </w:p>
        </w:tc>
        <w:tc>
          <w:tcPr>
            <w:tcW w:w="55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83D387E">
            <w:pPr>
              <w:pStyle w:val="24"/>
              <w:widowControl/>
              <w:spacing w:before="0" w:beforeAutospacing="0" w:after="0" w:afterAutospacing="0" w:line="240" w:lineRule="exact"/>
              <w:jc w:val="center"/>
              <w:rPr>
                <w:rFonts w:ascii="仿宋" w:hAnsi="仿宋" w:eastAsia="仿宋" w:cs="仿宋"/>
                <w:szCs w:val="24"/>
              </w:rPr>
            </w:pPr>
          </w:p>
        </w:tc>
      </w:tr>
    </w:tbl>
    <w:p w14:paraId="20540218">
      <w:pPr>
        <w:spacing w:line="240" w:lineRule="exact"/>
        <w:rPr>
          <w:rFonts w:ascii="仿宋" w:hAnsi="仿宋" w:eastAsia="仿宋" w:cs="仿宋"/>
          <w:sz w:val="32"/>
          <w:szCs w:val="32"/>
        </w:rPr>
      </w:pPr>
    </w:p>
    <w:p w14:paraId="6C9C4A94">
      <w:pPr>
        <w:rPr>
          <w:rFonts w:ascii="仿宋" w:hAnsi="仿宋" w:eastAsia="仿宋" w:cs="仿宋"/>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B6F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E2E7E"/>
    <w:multiLevelType w:val="singleLevel"/>
    <w:tmpl w:val="4B8E2E7E"/>
    <w:lvl w:ilvl="0" w:tentative="0">
      <w:start w:val="2"/>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NDcxODlhNWY4MGY3NDFjZDZkODE5MGJmYzVjYTEifQ=="/>
  </w:docVars>
  <w:rsids>
    <w:rsidRoot w:val="001E5DE3"/>
    <w:rsid w:val="00015630"/>
    <w:rsid w:val="00057E78"/>
    <w:rsid w:val="0011489D"/>
    <w:rsid w:val="001523A1"/>
    <w:rsid w:val="0015249C"/>
    <w:rsid w:val="00162FDF"/>
    <w:rsid w:val="001C4CD9"/>
    <w:rsid w:val="001E5DE3"/>
    <w:rsid w:val="001E7AD1"/>
    <w:rsid w:val="001F1EA7"/>
    <w:rsid w:val="002125F5"/>
    <w:rsid w:val="002159E3"/>
    <w:rsid w:val="00294FDA"/>
    <w:rsid w:val="002A11B0"/>
    <w:rsid w:val="002C3642"/>
    <w:rsid w:val="002D24BF"/>
    <w:rsid w:val="002D2D66"/>
    <w:rsid w:val="002E7AC6"/>
    <w:rsid w:val="00302C0C"/>
    <w:rsid w:val="00332B17"/>
    <w:rsid w:val="003462DF"/>
    <w:rsid w:val="00364729"/>
    <w:rsid w:val="0039276D"/>
    <w:rsid w:val="003A271E"/>
    <w:rsid w:val="003B42A9"/>
    <w:rsid w:val="003E1069"/>
    <w:rsid w:val="00403A04"/>
    <w:rsid w:val="00437B5A"/>
    <w:rsid w:val="0044623F"/>
    <w:rsid w:val="00446320"/>
    <w:rsid w:val="004737C4"/>
    <w:rsid w:val="004A0F44"/>
    <w:rsid w:val="004F4770"/>
    <w:rsid w:val="0051777E"/>
    <w:rsid w:val="00536F82"/>
    <w:rsid w:val="005A1B9F"/>
    <w:rsid w:val="005A6018"/>
    <w:rsid w:val="005D12EA"/>
    <w:rsid w:val="005F1DD5"/>
    <w:rsid w:val="00630D57"/>
    <w:rsid w:val="00650195"/>
    <w:rsid w:val="006572CF"/>
    <w:rsid w:val="0066262B"/>
    <w:rsid w:val="006914FD"/>
    <w:rsid w:val="00693D25"/>
    <w:rsid w:val="0069664C"/>
    <w:rsid w:val="00717686"/>
    <w:rsid w:val="00746014"/>
    <w:rsid w:val="0075595F"/>
    <w:rsid w:val="00762E21"/>
    <w:rsid w:val="00766172"/>
    <w:rsid w:val="00767BB5"/>
    <w:rsid w:val="007806E5"/>
    <w:rsid w:val="00791DA3"/>
    <w:rsid w:val="00795C8F"/>
    <w:rsid w:val="007A1354"/>
    <w:rsid w:val="007E468A"/>
    <w:rsid w:val="007F03BD"/>
    <w:rsid w:val="00815592"/>
    <w:rsid w:val="00816493"/>
    <w:rsid w:val="00850EFC"/>
    <w:rsid w:val="00877AEF"/>
    <w:rsid w:val="008A0670"/>
    <w:rsid w:val="008A320B"/>
    <w:rsid w:val="008C3638"/>
    <w:rsid w:val="008D3170"/>
    <w:rsid w:val="008F59C1"/>
    <w:rsid w:val="00905001"/>
    <w:rsid w:val="009052F6"/>
    <w:rsid w:val="00946516"/>
    <w:rsid w:val="009A7593"/>
    <w:rsid w:val="009B641E"/>
    <w:rsid w:val="009C03FC"/>
    <w:rsid w:val="009C6643"/>
    <w:rsid w:val="00A3375E"/>
    <w:rsid w:val="00A33A6A"/>
    <w:rsid w:val="00A413C9"/>
    <w:rsid w:val="00A41679"/>
    <w:rsid w:val="00AE73AF"/>
    <w:rsid w:val="00B06644"/>
    <w:rsid w:val="00B11A62"/>
    <w:rsid w:val="00B53035"/>
    <w:rsid w:val="00B77901"/>
    <w:rsid w:val="00BB55BB"/>
    <w:rsid w:val="00BD047E"/>
    <w:rsid w:val="00BD0C73"/>
    <w:rsid w:val="00BF6FA6"/>
    <w:rsid w:val="00BF7677"/>
    <w:rsid w:val="00C0438C"/>
    <w:rsid w:val="00C07771"/>
    <w:rsid w:val="00C12AC1"/>
    <w:rsid w:val="00C12C52"/>
    <w:rsid w:val="00C254B3"/>
    <w:rsid w:val="00CA7E79"/>
    <w:rsid w:val="00CB5F43"/>
    <w:rsid w:val="00D0004F"/>
    <w:rsid w:val="00D27BE6"/>
    <w:rsid w:val="00D810C6"/>
    <w:rsid w:val="00D92F76"/>
    <w:rsid w:val="00DA291F"/>
    <w:rsid w:val="00DA70DC"/>
    <w:rsid w:val="00DB394A"/>
    <w:rsid w:val="00DD0152"/>
    <w:rsid w:val="00DF3D15"/>
    <w:rsid w:val="00E03CF4"/>
    <w:rsid w:val="00E12C10"/>
    <w:rsid w:val="00E57EFD"/>
    <w:rsid w:val="00E73F60"/>
    <w:rsid w:val="00E74B6B"/>
    <w:rsid w:val="00E87995"/>
    <w:rsid w:val="00EA696D"/>
    <w:rsid w:val="00ED4357"/>
    <w:rsid w:val="00EE0E98"/>
    <w:rsid w:val="00EF6F5C"/>
    <w:rsid w:val="00F111F5"/>
    <w:rsid w:val="00F16AE8"/>
    <w:rsid w:val="00F32FEC"/>
    <w:rsid w:val="00F4402E"/>
    <w:rsid w:val="00F94BE5"/>
    <w:rsid w:val="00FA4174"/>
    <w:rsid w:val="00FB5D9D"/>
    <w:rsid w:val="04B63C7A"/>
    <w:rsid w:val="05CB0B5A"/>
    <w:rsid w:val="087F6AFC"/>
    <w:rsid w:val="0D584EE9"/>
    <w:rsid w:val="18461A6B"/>
    <w:rsid w:val="198231E4"/>
    <w:rsid w:val="19CA1C19"/>
    <w:rsid w:val="1BBE0430"/>
    <w:rsid w:val="1C87538C"/>
    <w:rsid w:val="20AB0E62"/>
    <w:rsid w:val="228A72F1"/>
    <w:rsid w:val="27FF206E"/>
    <w:rsid w:val="2AC946EB"/>
    <w:rsid w:val="31D1012C"/>
    <w:rsid w:val="352B33E5"/>
    <w:rsid w:val="3A972500"/>
    <w:rsid w:val="3C700C3E"/>
    <w:rsid w:val="45737A12"/>
    <w:rsid w:val="4D0E3AB4"/>
    <w:rsid w:val="4DF94B54"/>
    <w:rsid w:val="4EE87752"/>
    <w:rsid w:val="4F3E7823"/>
    <w:rsid w:val="575B1994"/>
    <w:rsid w:val="58D23849"/>
    <w:rsid w:val="5BD25782"/>
    <w:rsid w:val="5C5A74F6"/>
    <w:rsid w:val="601C2B41"/>
    <w:rsid w:val="680449F2"/>
    <w:rsid w:val="683B5967"/>
    <w:rsid w:val="68814361"/>
    <w:rsid w:val="69E93659"/>
    <w:rsid w:val="6DB736FC"/>
    <w:rsid w:val="6FDB366D"/>
    <w:rsid w:val="790866A6"/>
    <w:rsid w:val="7D986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7"/>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8"/>
    <w:unhideWhenUsed/>
    <w:qFormat/>
    <w:uiPriority w:val="0"/>
    <w:pPr>
      <w:keepNext/>
      <w:keepLines/>
      <w:spacing w:line="240" w:lineRule="auto"/>
      <w:ind w:firstLine="1040" w:firstLineChars="200"/>
      <w:outlineLvl w:val="1"/>
    </w:pPr>
    <w:rPr>
      <w:rFonts w:ascii="Arial" w:hAnsi="Arial" w:eastAsia="仿宋"/>
      <w:b/>
      <w:bCs/>
      <w:sz w:val="28"/>
      <w:szCs w:val="32"/>
    </w:rPr>
  </w:style>
  <w:style w:type="paragraph" w:styleId="5">
    <w:name w:val="heading 3"/>
    <w:basedOn w:val="1"/>
    <w:next w:val="1"/>
    <w:link w:val="59"/>
    <w:unhideWhenUsed/>
    <w:qFormat/>
    <w:uiPriority w:val="9"/>
    <w:pPr>
      <w:keepNext/>
      <w:keepLines/>
      <w:spacing w:line="240" w:lineRule="auto"/>
      <w:ind w:firstLine="1040" w:firstLineChars="200"/>
      <w:outlineLvl w:val="2"/>
    </w:pPr>
    <w:rPr>
      <w:rFonts w:eastAsia="仿宋"/>
      <w:b/>
      <w:bCs/>
      <w:sz w:val="28"/>
      <w:szCs w:val="32"/>
    </w:rPr>
  </w:style>
  <w:style w:type="paragraph" w:styleId="6">
    <w:name w:val="heading 4"/>
    <w:basedOn w:val="1"/>
    <w:next w:val="1"/>
    <w:link w:val="60"/>
    <w:semiHidden/>
    <w:unhideWhenUsed/>
    <w:qFormat/>
    <w:uiPriority w:val="9"/>
    <w:pPr>
      <w:keepNext/>
      <w:keepLines/>
      <w:spacing w:before="280" w:after="290" w:line="376" w:lineRule="atLeast"/>
      <w:outlineLvl w:val="3"/>
    </w:pPr>
    <w:rPr>
      <w:rFonts w:ascii="Cambria" w:hAnsi="Cambria" w:cs="宋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rPr>
      <w:rFonts w:ascii="等线" w:hAnsi="等线" w:eastAsia="仿宋"/>
    </w:rPr>
  </w:style>
  <w:style w:type="paragraph" w:styleId="7">
    <w:name w:val="toc 7"/>
    <w:basedOn w:val="1"/>
    <w:next w:val="1"/>
    <w:semiHidden/>
    <w:unhideWhenUsed/>
    <w:qFormat/>
    <w:uiPriority w:val="39"/>
    <w:pPr>
      <w:ind w:left="2520" w:leftChars="1200"/>
    </w:pPr>
  </w:style>
  <w:style w:type="paragraph" w:styleId="8">
    <w:name w:val="Normal Indent"/>
    <w:basedOn w:val="1"/>
    <w:semiHidden/>
    <w:unhideWhenUsed/>
    <w:qFormat/>
    <w:uiPriority w:val="99"/>
    <w:pPr>
      <w:ind w:firstLine="630"/>
    </w:pPr>
    <w:rPr>
      <w:kern w:val="0"/>
    </w:rPr>
  </w:style>
  <w:style w:type="paragraph" w:styleId="9">
    <w:name w:val="Document Map"/>
    <w:basedOn w:val="1"/>
    <w:link w:val="61"/>
    <w:semiHidden/>
    <w:unhideWhenUsed/>
    <w:qFormat/>
    <w:uiPriority w:val="99"/>
    <w:rPr>
      <w:rFonts w:ascii="宋体"/>
      <w:sz w:val="18"/>
      <w:szCs w:val="18"/>
    </w:rPr>
  </w:style>
  <w:style w:type="paragraph" w:styleId="10">
    <w:name w:val="annotation text"/>
    <w:basedOn w:val="1"/>
    <w:link w:val="62"/>
    <w:unhideWhenUsed/>
    <w:qFormat/>
    <w:uiPriority w:val="99"/>
    <w:pPr>
      <w:jc w:val="left"/>
    </w:pPr>
  </w:style>
  <w:style w:type="paragraph" w:styleId="11">
    <w:name w:val="Body Text"/>
    <w:basedOn w:val="1"/>
    <w:next w:val="1"/>
    <w:link w:val="45"/>
    <w:semiHidden/>
    <w:unhideWhenUsed/>
    <w:qFormat/>
    <w:uiPriority w:val="0"/>
    <w:pPr>
      <w:spacing w:after="120"/>
    </w:pPr>
    <w:rPr>
      <w:rFonts w:ascii="Calibri" w:hAnsi="Calibri"/>
    </w:rPr>
  </w:style>
  <w:style w:type="paragraph" w:styleId="12">
    <w:name w:val="Body Text Indent"/>
    <w:basedOn w:val="1"/>
    <w:link w:val="41"/>
    <w:semiHidden/>
    <w:unhideWhenUsed/>
    <w:qFormat/>
    <w:uiPriority w:val="0"/>
    <w:pPr>
      <w:spacing w:after="120"/>
      <w:ind w:left="420" w:leftChars="200"/>
    </w:pPr>
  </w:style>
  <w:style w:type="paragraph" w:styleId="13">
    <w:name w:val="toc 5"/>
    <w:basedOn w:val="1"/>
    <w:next w:val="1"/>
    <w:semiHidden/>
    <w:unhideWhenUsed/>
    <w:qFormat/>
    <w:uiPriority w:val="39"/>
    <w:pPr>
      <w:ind w:left="1680" w:leftChars="800"/>
    </w:pPr>
  </w:style>
  <w:style w:type="paragraph" w:styleId="14">
    <w:name w:val="toc 3"/>
    <w:basedOn w:val="1"/>
    <w:next w:val="1"/>
    <w:semiHidden/>
    <w:unhideWhenUsed/>
    <w:qFormat/>
    <w:uiPriority w:val="39"/>
    <w:pPr>
      <w:ind w:left="840" w:leftChars="400"/>
    </w:pPr>
  </w:style>
  <w:style w:type="paragraph" w:styleId="15">
    <w:name w:val="toc 8"/>
    <w:basedOn w:val="1"/>
    <w:next w:val="1"/>
    <w:semiHidden/>
    <w:unhideWhenUsed/>
    <w:qFormat/>
    <w:uiPriority w:val="39"/>
    <w:pPr>
      <w:ind w:left="2940" w:leftChars="1400"/>
    </w:pPr>
  </w:style>
  <w:style w:type="paragraph" w:styleId="16">
    <w:name w:val="Balloon Text"/>
    <w:basedOn w:val="1"/>
    <w:link w:val="63"/>
    <w:semiHidden/>
    <w:unhideWhenUsed/>
    <w:qFormat/>
    <w:uiPriority w:val="99"/>
    <w:pPr>
      <w:spacing w:line="240" w:lineRule="auto"/>
    </w:pPr>
    <w:rPr>
      <w:sz w:val="18"/>
      <w:szCs w:val="18"/>
    </w:rPr>
  </w:style>
  <w:style w:type="paragraph" w:styleId="17">
    <w:name w:val="footer"/>
    <w:basedOn w:val="1"/>
    <w:link w:val="36"/>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18">
    <w:name w:val="header"/>
    <w:basedOn w:val="1"/>
    <w:link w:val="35"/>
    <w:unhideWhenUsed/>
    <w:qFormat/>
    <w:uiPriority w:val="0"/>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9">
    <w:name w:val="toc 1"/>
    <w:basedOn w:val="1"/>
    <w:next w:val="1"/>
    <w:unhideWhenUsed/>
    <w:qFormat/>
    <w:uiPriority w:val="39"/>
  </w:style>
  <w:style w:type="paragraph" w:styleId="20">
    <w:name w:val="toc 4"/>
    <w:basedOn w:val="1"/>
    <w:next w:val="1"/>
    <w:semiHidden/>
    <w:unhideWhenUsed/>
    <w:qFormat/>
    <w:uiPriority w:val="39"/>
    <w:pPr>
      <w:ind w:left="1260" w:leftChars="600"/>
    </w:pPr>
  </w:style>
  <w:style w:type="paragraph" w:styleId="21">
    <w:name w:val="toc 6"/>
    <w:basedOn w:val="1"/>
    <w:next w:val="1"/>
    <w:semiHidden/>
    <w:unhideWhenUsed/>
    <w:qFormat/>
    <w:uiPriority w:val="39"/>
    <w:pPr>
      <w:ind w:left="2100" w:leftChars="1000"/>
    </w:pPr>
  </w:style>
  <w:style w:type="paragraph" w:styleId="22">
    <w:name w:val="toc 2"/>
    <w:basedOn w:val="1"/>
    <w:next w:val="1"/>
    <w:unhideWhenUsed/>
    <w:qFormat/>
    <w:uiPriority w:val="39"/>
    <w:pPr>
      <w:ind w:left="420" w:leftChars="200"/>
    </w:pPr>
  </w:style>
  <w:style w:type="paragraph" w:styleId="23">
    <w:name w:val="toc 9"/>
    <w:basedOn w:val="1"/>
    <w:next w:val="1"/>
    <w:semiHidden/>
    <w:unhideWhenUsed/>
    <w:qFormat/>
    <w:uiPriority w:val="39"/>
    <w:pPr>
      <w:ind w:left="3360" w:leftChars="1600"/>
    </w:pPr>
  </w:style>
  <w:style w:type="paragraph" w:styleId="24">
    <w:name w:val="Normal (Web)"/>
    <w:basedOn w:val="1"/>
    <w:unhideWhenUsed/>
    <w:qFormat/>
    <w:uiPriority w:val="0"/>
    <w:pPr>
      <w:spacing w:before="100" w:beforeAutospacing="1" w:after="100" w:afterAutospacing="1"/>
      <w:jc w:val="left"/>
    </w:pPr>
    <w:rPr>
      <w:kern w:val="0"/>
      <w:sz w:val="24"/>
    </w:rPr>
  </w:style>
  <w:style w:type="paragraph" w:styleId="25">
    <w:name w:val="annotation subject"/>
    <w:basedOn w:val="10"/>
    <w:next w:val="10"/>
    <w:link w:val="66"/>
    <w:semiHidden/>
    <w:unhideWhenUsed/>
    <w:qFormat/>
    <w:uiPriority w:val="99"/>
    <w:rPr>
      <w:b/>
      <w:bCs/>
    </w:rPr>
  </w:style>
  <w:style w:type="paragraph" w:styleId="26">
    <w:name w:val="Body Text First Indent"/>
    <w:basedOn w:val="11"/>
    <w:link w:val="46"/>
    <w:semiHidden/>
    <w:unhideWhenUsed/>
    <w:qFormat/>
    <w:uiPriority w:val="0"/>
    <w:pPr>
      <w:spacing w:line="312" w:lineRule="auto"/>
      <w:ind w:firstLine="420"/>
      <w:jc w:val="center"/>
    </w:pPr>
    <w:rPr>
      <w:rFonts w:ascii="宋体" w:hAnsi="宋体"/>
      <w:szCs w:val="21"/>
    </w:rPr>
  </w:style>
  <w:style w:type="paragraph" w:styleId="27">
    <w:name w:val="Body Text First Indent 2"/>
    <w:basedOn w:val="12"/>
    <w:link w:val="42"/>
    <w:unhideWhenUsed/>
    <w:qFormat/>
    <w:uiPriority w:val="0"/>
    <w:pPr>
      <w:ind w:firstLine="420" w:firstLineChars="200"/>
    </w:p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rFonts w:hint="default" w:ascii="Arial" w:hAnsi="Arial" w:eastAsia="宋体" w:cs="Verdana"/>
      <w:b/>
      <w:bCs/>
      <w:sz w:val="28"/>
      <w:szCs w:val="24"/>
      <w:lang w:val="en-US" w:eastAsia="en-US" w:bidi="ar-SA"/>
    </w:rPr>
  </w:style>
  <w:style w:type="character" w:styleId="32">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3">
    <w:name w:val="Hyperlink"/>
    <w:unhideWhenUsed/>
    <w:qFormat/>
    <w:uiPriority w:val="99"/>
    <w:rPr>
      <w:color w:val="0000FF"/>
      <w:u w:val="single"/>
    </w:rPr>
  </w:style>
  <w:style w:type="character" w:styleId="34">
    <w:name w:val="annotation reference"/>
    <w:unhideWhenUsed/>
    <w:qFormat/>
    <w:uiPriority w:val="99"/>
    <w:rPr>
      <w:sz w:val="21"/>
      <w:szCs w:val="21"/>
    </w:rPr>
  </w:style>
  <w:style w:type="character" w:customStyle="1" w:styleId="35">
    <w:name w:val="页眉 字符"/>
    <w:basedOn w:val="30"/>
    <w:link w:val="18"/>
    <w:qFormat/>
    <w:uiPriority w:val="99"/>
    <w:rPr>
      <w:sz w:val="18"/>
      <w:szCs w:val="18"/>
    </w:rPr>
  </w:style>
  <w:style w:type="character" w:customStyle="1" w:styleId="36">
    <w:name w:val="页脚 字符"/>
    <w:basedOn w:val="30"/>
    <w:link w:val="17"/>
    <w:qFormat/>
    <w:uiPriority w:val="99"/>
    <w:rPr>
      <w:sz w:val="18"/>
      <w:szCs w:val="18"/>
    </w:rPr>
  </w:style>
  <w:style w:type="character" w:customStyle="1" w:styleId="37">
    <w:name w:val="标题 1 字符"/>
    <w:basedOn w:val="30"/>
    <w:qFormat/>
    <w:uiPriority w:val="9"/>
    <w:rPr>
      <w:rFonts w:ascii="Times New Roman" w:hAnsi="Times New Roman" w:eastAsia="宋体" w:cs="Times New Roman"/>
      <w:b/>
      <w:bCs/>
      <w:kern w:val="44"/>
      <w:sz w:val="44"/>
      <w:szCs w:val="44"/>
    </w:rPr>
  </w:style>
  <w:style w:type="character" w:customStyle="1" w:styleId="38">
    <w:name w:val="标题 2 字符"/>
    <w:basedOn w:val="30"/>
    <w:semiHidden/>
    <w:qFormat/>
    <w:uiPriority w:val="9"/>
    <w:rPr>
      <w:rFonts w:asciiTheme="majorHAnsi" w:hAnsiTheme="majorHAnsi" w:eastAsiaTheme="majorEastAsia" w:cstheme="majorBidi"/>
      <w:b/>
      <w:bCs/>
      <w:sz w:val="32"/>
      <w:szCs w:val="32"/>
    </w:rPr>
  </w:style>
  <w:style w:type="character" w:customStyle="1" w:styleId="39">
    <w:name w:val="标题 3 字符"/>
    <w:basedOn w:val="30"/>
    <w:semiHidden/>
    <w:qFormat/>
    <w:uiPriority w:val="9"/>
    <w:rPr>
      <w:rFonts w:ascii="Times New Roman" w:hAnsi="Times New Roman" w:eastAsia="宋体" w:cs="Times New Roman"/>
      <w:b/>
      <w:bCs/>
      <w:sz w:val="32"/>
      <w:szCs w:val="32"/>
    </w:rPr>
  </w:style>
  <w:style w:type="character" w:customStyle="1" w:styleId="40">
    <w:name w:val="标题 4 字符"/>
    <w:basedOn w:val="30"/>
    <w:semiHidden/>
    <w:qFormat/>
    <w:uiPriority w:val="9"/>
    <w:rPr>
      <w:rFonts w:asciiTheme="majorHAnsi" w:hAnsiTheme="majorHAnsi" w:eastAsiaTheme="majorEastAsia" w:cstheme="majorBidi"/>
      <w:b/>
      <w:bCs/>
      <w:sz w:val="28"/>
      <w:szCs w:val="28"/>
    </w:rPr>
  </w:style>
  <w:style w:type="character" w:customStyle="1" w:styleId="41">
    <w:name w:val="正文文本缩进 字符"/>
    <w:basedOn w:val="30"/>
    <w:link w:val="12"/>
    <w:semiHidden/>
    <w:qFormat/>
    <w:uiPriority w:val="0"/>
    <w:rPr>
      <w:rFonts w:ascii="Times New Roman" w:hAnsi="Times New Roman" w:eastAsia="宋体" w:cs="Times New Roman"/>
    </w:rPr>
  </w:style>
  <w:style w:type="character" w:customStyle="1" w:styleId="42">
    <w:name w:val="正文首行缩进 2 字符"/>
    <w:basedOn w:val="41"/>
    <w:link w:val="27"/>
    <w:qFormat/>
    <w:uiPriority w:val="0"/>
    <w:rPr>
      <w:rFonts w:ascii="Times New Roman" w:hAnsi="Times New Roman" w:eastAsia="宋体" w:cs="Times New Roman"/>
    </w:rPr>
  </w:style>
  <w:style w:type="paragraph" w:customStyle="1" w:styleId="43">
    <w:name w:val="msonormal"/>
    <w:basedOn w:val="1"/>
    <w:qFormat/>
    <w:uiPriority w:val="0"/>
    <w:pPr>
      <w:spacing w:before="100" w:beforeAutospacing="1" w:after="100" w:afterAutospacing="1"/>
      <w:jc w:val="left"/>
    </w:pPr>
    <w:rPr>
      <w:kern w:val="0"/>
      <w:sz w:val="24"/>
    </w:rPr>
  </w:style>
  <w:style w:type="character" w:customStyle="1" w:styleId="44">
    <w:name w:val="批注文字 字符"/>
    <w:basedOn w:val="30"/>
    <w:semiHidden/>
    <w:qFormat/>
    <w:uiPriority w:val="99"/>
    <w:rPr>
      <w:rFonts w:ascii="Times New Roman" w:hAnsi="Times New Roman" w:eastAsia="宋体" w:cs="Times New Roman"/>
    </w:rPr>
  </w:style>
  <w:style w:type="character" w:customStyle="1" w:styleId="45">
    <w:name w:val="正文文本 字符"/>
    <w:basedOn w:val="30"/>
    <w:link w:val="11"/>
    <w:semiHidden/>
    <w:qFormat/>
    <w:uiPriority w:val="0"/>
    <w:rPr>
      <w:rFonts w:ascii="Calibri" w:hAnsi="Calibri" w:eastAsia="宋体" w:cs="Times New Roman"/>
    </w:rPr>
  </w:style>
  <w:style w:type="character" w:customStyle="1" w:styleId="46">
    <w:name w:val="正文首行缩进 字符"/>
    <w:basedOn w:val="45"/>
    <w:link w:val="26"/>
    <w:semiHidden/>
    <w:qFormat/>
    <w:uiPriority w:val="0"/>
    <w:rPr>
      <w:rFonts w:ascii="宋体" w:hAnsi="宋体" w:eastAsia="宋体" w:cs="Times New Roman"/>
      <w:szCs w:val="21"/>
    </w:rPr>
  </w:style>
  <w:style w:type="character" w:customStyle="1" w:styleId="47">
    <w:name w:val="文档结构图 字符"/>
    <w:basedOn w:val="30"/>
    <w:semiHidden/>
    <w:qFormat/>
    <w:uiPriority w:val="99"/>
    <w:rPr>
      <w:rFonts w:ascii="Microsoft YaHei UI" w:hAnsi="Times New Roman" w:eastAsia="Microsoft YaHei UI" w:cs="Times New Roman"/>
      <w:sz w:val="18"/>
      <w:szCs w:val="18"/>
    </w:rPr>
  </w:style>
  <w:style w:type="character" w:customStyle="1" w:styleId="48">
    <w:name w:val="批注主题 字符"/>
    <w:basedOn w:val="44"/>
    <w:semiHidden/>
    <w:qFormat/>
    <w:uiPriority w:val="99"/>
    <w:rPr>
      <w:rFonts w:ascii="Times New Roman" w:hAnsi="Times New Roman" w:eastAsia="宋体" w:cs="Times New Roman"/>
      <w:b/>
      <w:bCs/>
    </w:rPr>
  </w:style>
  <w:style w:type="character" w:customStyle="1" w:styleId="49">
    <w:name w:val="批注框文本 字符"/>
    <w:basedOn w:val="30"/>
    <w:semiHidden/>
    <w:qFormat/>
    <w:uiPriority w:val="99"/>
    <w:rPr>
      <w:rFonts w:ascii="Times New Roman" w:hAnsi="Times New Roman" w:eastAsia="宋体" w:cs="Times New Roman"/>
      <w:sz w:val="18"/>
      <w:szCs w:val="18"/>
    </w:rPr>
  </w:style>
  <w:style w:type="paragraph" w:styleId="50">
    <w:name w:val="List Paragraph"/>
    <w:basedOn w:val="1"/>
    <w:qFormat/>
    <w:uiPriority w:val="99"/>
    <w:pPr>
      <w:widowControl/>
      <w:spacing w:line="240" w:lineRule="auto"/>
      <w:ind w:firstLine="420" w:firstLineChars="200"/>
      <w:jc w:val="left"/>
    </w:pPr>
    <w:rPr>
      <w:spacing w:val="20"/>
      <w:kern w:val="10"/>
      <w:position w:val="30"/>
      <w:u w:val="single"/>
    </w:rPr>
  </w:style>
  <w:style w:type="character" w:customStyle="1" w:styleId="51">
    <w:name w:val="文档正文 Char"/>
    <w:link w:val="52"/>
    <w:qFormat/>
    <w:locked/>
    <w:uiPriority w:val="99"/>
    <w:rPr>
      <w:bCs/>
      <w:sz w:val="24"/>
      <w:szCs w:val="24"/>
    </w:rPr>
  </w:style>
  <w:style w:type="paragraph" w:customStyle="1" w:styleId="52">
    <w:name w:val="文档正文"/>
    <w:basedOn w:val="1"/>
    <w:link w:val="51"/>
    <w:qFormat/>
    <w:uiPriority w:val="99"/>
    <w:pPr>
      <w:widowControl/>
      <w:adjustRightInd w:val="0"/>
      <w:snapToGrid w:val="0"/>
      <w:spacing w:line="360" w:lineRule="auto"/>
      <w:ind w:firstLine="200" w:firstLineChars="200"/>
      <w:jc w:val="left"/>
    </w:pPr>
    <w:rPr>
      <w:rFonts w:asciiTheme="minorHAnsi" w:hAnsiTheme="minorHAnsi" w:eastAsiaTheme="minorEastAsia" w:cstheme="minorBidi"/>
      <w:bCs/>
      <w:sz w:val="24"/>
      <w:szCs w:val="24"/>
    </w:rPr>
  </w:style>
  <w:style w:type="paragraph" w:customStyle="1" w:styleId="53">
    <w:name w:val="Char Char Char Char Char Char"/>
    <w:basedOn w:val="1"/>
    <w:qFormat/>
    <w:uiPriority w:val="0"/>
    <w:pPr>
      <w:spacing w:line="240" w:lineRule="auto"/>
    </w:pPr>
    <w:rPr>
      <w:szCs w:val="24"/>
    </w:rPr>
  </w:style>
  <w:style w:type="paragraph" w:customStyle="1" w:styleId="54">
    <w:name w:val="表格5"/>
    <w:basedOn w:val="1"/>
    <w:qFormat/>
    <w:uiPriority w:val="99"/>
    <w:pPr>
      <w:widowControl/>
      <w:adjustRightInd w:val="0"/>
      <w:snapToGrid w:val="0"/>
      <w:spacing w:line="240" w:lineRule="auto"/>
      <w:jc w:val="center"/>
    </w:pPr>
    <w:rPr>
      <w:bCs/>
      <w:kern w:val="0"/>
      <w:szCs w:val="24"/>
    </w:rPr>
  </w:style>
  <w:style w:type="paragraph" w:customStyle="1" w:styleId="5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56">
    <w:name w:val="Default"/>
    <w:qFormat/>
    <w:uiPriority w:val="0"/>
    <w:pPr>
      <w:widowControl w:val="0"/>
      <w:autoSpaceDE w:val="0"/>
      <w:autoSpaceDN w:val="0"/>
      <w:adjustRightInd w:val="0"/>
    </w:pPr>
    <w:rPr>
      <w:rFonts w:ascii="黑体" w:hAnsi="黑体" w:eastAsia="黑体" w:cs="Times New Roman"/>
      <w:color w:val="000000"/>
      <w:sz w:val="24"/>
      <w:lang w:val="en-US" w:eastAsia="zh-CN" w:bidi="ar-SA"/>
    </w:rPr>
  </w:style>
  <w:style w:type="character" w:customStyle="1" w:styleId="57">
    <w:name w:val="标题 1 字符1"/>
    <w:link w:val="3"/>
    <w:qFormat/>
    <w:locked/>
    <w:uiPriority w:val="0"/>
    <w:rPr>
      <w:rFonts w:ascii="Times New Roman" w:hAnsi="Times New Roman" w:eastAsia="宋体" w:cs="Times New Roman"/>
      <w:b/>
      <w:bCs/>
      <w:kern w:val="44"/>
      <w:sz w:val="44"/>
      <w:szCs w:val="44"/>
    </w:rPr>
  </w:style>
  <w:style w:type="character" w:customStyle="1" w:styleId="58">
    <w:name w:val="标题 2 字符1"/>
    <w:link w:val="4"/>
    <w:semiHidden/>
    <w:qFormat/>
    <w:locked/>
    <w:uiPriority w:val="0"/>
    <w:rPr>
      <w:rFonts w:ascii="Arial" w:hAnsi="Arial" w:eastAsia="仿宋" w:cs="Times New Roman"/>
      <w:b/>
      <w:bCs/>
      <w:sz w:val="28"/>
      <w:szCs w:val="32"/>
    </w:rPr>
  </w:style>
  <w:style w:type="character" w:customStyle="1" w:styleId="59">
    <w:name w:val="标题 3 字符1"/>
    <w:link w:val="5"/>
    <w:semiHidden/>
    <w:qFormat/>
    <w:locked/>
    <w:uiPriority w:val="9"/>
    <w:rPr>
      <w:rFonts w:ascii="Times New Roman" w:hAnsi="Times New Roman" w:eastAsia="仿宋" w:cs="Times New Roman"/>
      <w:b/>
      <w:bCs/>
      <w:sz w:val="28"/>
      <w:szCs w:val="32"/>
    </w:rPr>
  </w:style>
  <w:style w:type="character" w:customStyle="1" w:styleId="60">
    <w:name w:val="标题 4 字符1"/>
    <w:link w:val="6"/>
    <w:semiHidden/>
    <w:qFormat/>
    <w:locked/>
    <w:uiPriority w:val="9"/>
    <w:rPr>
      <w:rFonts w:ascii="Cambria" w:hAnsi="Cambria" w:eastAsia="宋体" w:cs="宋体"/>
      <w:b/>
      <w:bCs/>
      <w:sz w:val="28"/>
      <w:szCs w:val="28"/>
    </w:rPr>
  </w:style>
  <w:style w:type="character" w:customStyle="1" w:styleId="61">
    <w:name w:val="文档结构图 字符1"/>
    <w:link w:val="9"/>
    <w:semiHidden/>
    <w:qFormat/>
    <w:locked/>
    <w:uiPriority w:val="99"/>
    <w:rPr>
      <w:rFonts w:ascii="宋体" w:hAnsi="Times New Roman" w:eastAsia="宋体" w:cs="Times New Roman"/>
      <w:sz w:val="18"/>
      <w:szCs w:val="18"/>
    </w:rPr>
  </w:style>
  <w:style w:type="character" w:customStyle="1" w:styleId="62">
    <w:name w:val="批注文字 字符1"/>
    <w:link w:val="10"/>
    <w:semiHidden/>
    <w:qFormat/>
    <w:locked/>
    <w:uiPriority w:val="99"/>
    <w:rPr>
      <w:rFonts w:ascii="Times New Roman" w:hAnsi="Times New Roman" w:eastAsia="宋体" w:cs="Times New Roman"/>
    </w:rPr>
  </w:style>
  <w:style w:type="character" w:customStyle="1" w:styleId="63">
    <w:name w:val="批注框文本 字符1"/>
    <w:link w:val="16"/>
    <w:semiHidden/>
    <w:qFormat/>
    <w:locked/>
    <w:uiPriority w:val="99"/>
    <w:rPr>
      <w:rFonts w:ascii="Times New Roman" w:hAnsi="Times New Roman" w:eastAsia="宋体" w:cs="Times New Roman"/>
      <w:sz w:val="18"/>
      <w:szCs w:val="18"/>
    </w:rPr>
  </w:style>
  <w:style w:type="character" w:customStyle="1" w:styleId="64">
    <w:name w:val="页脚 字符1"/>
    <w:semiHidden/>
    <w:qFormat/>
    <w:locked/>
    <w:uiPriority w:val="99"/>
    <w:rPr>
      <w:rFonts w:ascii="Times New Roman" w:hAnsi="Times New Roman" w:eastAsia="宋体" w:cs="Times New Roman"/>
      <w:sz w:val="18"/>
      <w:szCs w:val="18"/>
    </w:rPr>
  </w:style>
  <w:style w:type="character" w:customStyle="1" w:styleId="65">
    <w:name w:val="页眉 字符1"/>
    <w:semiHidden/>
    <w:qFormat/>
    <w:locked/>
    <w:uiPriority w:val="0"/>
    <w:rPr>
      <w:rFonts w:ascii="Times New Roman" w:hAnsi="Times New Roman" w:eastAsia="宋体" w:cs="Times New Roman"/>
      <w:sz w:val="18"/>
      <w:szCs w:val="18"/>
    </w:rPr>
  </w:style>
  <w:style w:type="character" w:customStyle="1" w:styleId="66">
    <w:name w:val="批注主题 字符1"/>
    <w:link w:val="25"/>
    <w:semiHidden/>
    <w:qFormat/>
    <w:locked/>
    <w:uiPriority w:val="99"/>
    <w:rPr>
      <w:rFonts w:ascii="Times New Roman" w:hAnsi="Times New Roman" w:eastAsia="宋体" w:cs="Times New Roman"/>
      <w:b/>
      <w:bCs/>
    </w:rPr>
  </w:style>
  <w:style w:type="character" w:customStyle="1" w:styleId="67">
    <w:name w:val="批注文字 Char"/>
    <w:semiHidden/>
    <w:qFormat/>
    <w:uiPriority w:val="99"/>
    <w:rPr>
      <w:kern w:val="2"/>
      <w:sz w:val="21"/>
      <w:szCs w:val="22"/>
    </w:rPr>
  </w:style>
  <w:style w:type="character" w:customStyle="1" w:styleId="68">
    <w:name w:val="标题 3 Char"/>
    <w:qFormat/>
    <w:uiPriority w:val="9"/>
    <w:rPr>
      <w:rFonts w:ascii="Times New Roman" w:hAnsi="Times New Roman" w:eastAsia="仿宋"/>
      <w:b/>
      <w:bCs/>
      <w:kern w:val="2"/>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4E22B-4B84-43AF-8594-62C7C6DBA71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59</Pages>
  <Words>3457</Words>
  <Characters>3679</Characters>
  <Lines>248</Lines>
  <Paragraphs>70</Paragraphs>
  <TotalTime>26</TotalTime>
  <ScaleCrop>false</ScaleCrop>
  <LinksUpToDate>false</LinksUpToDate>
  <CharactersWithSpaces>3832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2021-12-18T11:33:00Z</dcterms:created>
  <dc:creator>Windows User</dc:creator>
  <cp:lastModifiedBy>青春太矫情</cp:lastModifiedBy>
  <dcterms:modified xsi:type="dcterms:W3CDTF">2025-06-05T07:48:24Z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BA4BD050482D470BA37CFC3B8FC64C53_13</vt:lpwstr>
  </property>
  <property fmtid="{D5CDD505-2E9C-101B-9397-08002B2CF9AE}" pid="4" name="KSOTemplateDocerSaveRecord">
    <vt:lpwstr>eyJoZGlkIjoiYzUxMjFiZjViMjA1ODJjYmRjNDJiMDczNTk2ZGQwMzEiLCJ1c2VySWQiOiIzMzcxNjE5MTMifQ==</vt:lpwstr>
  </property>
</Properties>
</file>