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84491">
      <w:pPr>
        <w:jc w:val="center"/>
        <w:rPr>
          <w:rFonts w:ascii="黑体" w:eastAsia="黑体"/>
          <w:sz w:val="36"/>
          <w:szCs w:val="36"/>
        </w:rPr>
      </w:pPr>
      <w:r>
        <w:rPr>
          <w:rFonts w:hint="eastAsia" w:ascii="黑体" w:hAnsi="Calibri" w:eastAsia="黑体"/>
          <w:sz w:val="36"/>
          <w:szCs w:val="36"/>
        </w:rPr>
        <w:t>行政处罚案件信息公开表</w:t>
      </w:r>
    </w:p>
    <w:tbl>
      <w:tblPr>
        <w:tblStyle w:val="2"/>
        <w:tblpPr w:leftFromText="180" w:rightFromText="180" w:vertAnchor="text" w:horzAnchor="page" w:tblpXSpec="center" w:tblpY="309"/>
        <w:tblOverlap w:val="never"/>
        <w:tblW w:w="1598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
        <w:gridCol w:w="975"/>
        <w:gridCol w:w="879"/>
        <w:gridCol w:w="1200"/>
        <w:gridCol w:w="1091"/>
        <w:gridCol w:w="750"/>
        <w:gridCol w:w="6545"/>
        <w:gridCol w:w="1445"/>
        <w:gridCol w:w="1964"/>
        <w:gridCol w:w="676"/>
      </w:tblGrid>
      <w:tr w14:paraId="6BECD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atLeast"/>
        </w:trPr>
        <w:tc>
          <w:tcPr>
            <w:tcW w:w="459" w:type="dxa"/>
            <w:tcBorders>
              <w:bottom w:val="single" w:color="auto" w:sz="4" w:space="0"/>
            </w:tcBorders>
            <w:noWrap w:val="0"/>
            <w:vAlign w:val="center"/>
          </w:tcPr>
          <w:p w14:paraId="4B183C5E">
            <w:pPr>
              <w:spacing w:line="280" w:lineRule="exact"/>
              <w:jc w:val="center"/>
              <w:rPr>
                <w:rFonts w:ascii="黑体" w:hAnsi="黑体" w:eastAsia="黑体"/>
                <w:spacing w:val="-8"/>
                <w:sz w:val="28"/>
                <w:szCs w:val="28"/>
              </w:rPr>
            </w:pPr>
            <w:r>
              <w:rPr>
                <w:rFonts w:hint="eastAsia" w:ascii="黑体" w:hAnsi="黑体" w:eastAsia="黑体"/>
                <w:spacing w:val="-8"/>
                <w:sz w:val="28"/>
                <w:szCs w:val="28"/>
              </w:rPr>
              <w:t>序</w:t>
            </w:r>
          </w:p>
          <w:p w14:paraId="702A0CDB">
            <w:pPr>
              <w:spacing w:line="280" w:lineRule="exact"/>
              <w:jc w:val="center"/>
              <w:rPr>
                <w:rFonts w:ascii="黑体" w:hAnsi="黑体" w:eastAsia="黑体"/>
                <w:spacing w:val="-8"/>
                <w:sz w:val="28"/>
                <w:szCs w:val="28"/>
              </w:rPr>
            </w:pPr>
            <w:r>
              <w:rPr>
                <w:rFonts w:hint="eastAsia" w:ascii="黑体" w:hAnsi="黑体" w:eastAsia="黑体"/>
                <w:spacing w:val="-8"/>
                <w:sz w:val="28"/>
                <w:szCs w:val="28"/>
              </w:rPr>
              <w:t>号</w:t>
            </w:r>
          </w:p>
        </w:tc>
        <w:tc>
          <w:tcPr>
            <w:tcW w:w="975" w:type="dxa"/>
            <w:tcBorders>
              <w:bottom w:val="single" w:color="auto" w:sz="4" w:space="0"/>
            </w:tcBorders>
            <w:noWrap w:val="0"/>
            <w:vAlign w:val="center"/>
          </w:tcPr>
          <w:p w14:paraId="009C2FE3">
            <w:pPr>
              <w:spacing w:line="280" w:lineRule="exact"/>
              <w:jc w:val="center"/>
              <w:rPr>
                <w:rFonts w:ascii="黑体" w:hAnsi="黑体" w:eastAsia="黑体"/>
                <w:spacing w:val="-8"/>
                <w:sz w:val="28"/>
                <w:szCs w:val="28"/>
              </w:rPr>
            </w:pPr>
            <w:r>
              <w:rPr>
                <w:rFonts w:hint="eastAsia" w:ascii="黑体" w:hAnsi="黑体" w:eastAsia="黑体"/>
                <w:spacing w:val="-8"/>
                <w:sz w:val="28"/>
                <w:szCs w:val="28"/>
              </w:rPr>
              <w:t>行政处罚决定</w:t>
            </w:r>
          </w:p>
          <w:p w14:paraId="0E229FD8">
            <w:pPr>
              <w:spacing w:line="280" w:lineRule="exact"/>
              <w:jc w:val="center"/>
              <w:rPr>
                <w:rFonts w:ascii="黑体" w:hAnsi="黑体" w:eastAsia="黑体"/>
                <w:spacing w:val="-8"/>
                <w:sz w:val="28"/>
                <w:szCs w:val="28"/>
              </w:rPr>
            </w:pPr>
            <w:r>
              <w:rPr>
                <w:rFonts w:hint="eastAsia" w:ascii="黑体" w:hAnsi="黑体" w:eastAsia="黑体"/>
                <w:spacing w:val="-8"/>
                <w:sz w:val="28"/>
                <w:szCs w:val="28"/>
              </w:rPr>
              <w:t>文书号</w:t>
            </w:r>
          </w:p>
        </w:tc>
        <w:tc>
          <w:tcPr>
            <w:tcW w:w="879" w:type="dxa"/>
            <w:tcBorders>
              <w:bottom w:val="single" w:color="auto" w:sz="4" w:space="0"/>
            </w:tcBorders>
            <w:noWrap w:val="0"/>
            <w:vAlign w:val="center"/>
          </w:tcPr>
          <w:p w14:paraId="455BF496">
            <w:pPr>
              <w:spacing w:line="280" w:lineRule="exact"/>
              <w:jc w:val="center"/>
              <w:rPr>
                <w:rFonts w:ascii="黑体" w:hAnsi="黑体" w:eastAsia="黑体"/>
                <w:spacing w:val="-8"/>
                <w:sz w:val="28"/>
                <w:szCs w:val="28"/>
              </w:rPr>
            </w:pPr>
            <w:r>
              <w:rPr>
                <w:rFonts w:hint="eastAsia" w:ascii="黑体" w:hAnsi="黑体" w:eastAsia="黑体"/>
                <w:spacing w:val="-8"/>
                <w:sz w:val="28"/>
                <w:szCs w:val="28"/>
              </w:rPr>
              <w:t>案件名称</w:t>
            </w:r>
          </w:p>
        </w:tc>
        <w:tc>
          <w:tcPr>
            <w:tcW w:w="1200" w:type="dxa"/>
            <w:tcBorders>
              <w:bottom w:val="single" w:color="auto" w:sz="4" w:space="0"/>
            </w:tcBorders>
            <w:noWrap w:val="0"/>
            <w:vAlign w:val="center"/>
          </w:tcPr>
          <w:p w14:paraId="41E08F2E">
            <w:pPr>
              <w:spacing w:line="280" w:lineRule="exact"/>
              <w:jc w:val="center"/>
              <w:rPr>
                <w:rFonts w:ascii="黑体" w:hAnsi="黑体" w:eastAsia="黑体"/>
                <w:spacing w:val="-8"/>
                <w:sz w:val="28"/>
                <w:szCs w:val="28"/>
              </w:rPr>
            </w:pPr>
            <w:r>
              <w:rPr>
                <w:rFonts w:hint="eastAsia" w:ascii="黑体" w:hAnsi="黑体" w:eastAsia="黑体"/>
                <w:spacing w:val="-8"/>
                <w:sz w:val="28"/>
                <w:szCs w:val="28"/>
              </w:rPr>
              <w:t>违法企业名称或违法自然人姓名</w:t>
            </w:r>
          </w:p>
        </w:tc>
        <w:tc>
          <w:tcPr>
            <w:tcW w:w="1091" w:type="dxa"/>
            <w:tcBorders>
              <w:bottom w:val="single" w:color="auto" w:sz="4" w:space="0"/>
            </w:tcBorders>
            <w:noWrap w:val="0"/>
            <w:vAlign w:val="center"/>
          </w:tcPr>
          <w:p w14:paraId="36211798">
            <w:pPr>
              <w:spacing w:line="280" w:lineRule="exact"/>
              <w:jc w:val="center"/>
              <w:rPr>
                <w:rFonts w:ascii="黑体" w:hAnsi="黑体" w:eastAsia="黑体"/>
                <w:spacing w:val="-8"/>
                <w:sz w:val="28"/>
                <w:szCs w:val="28"/>
              </w:rPr>
            </w:pPr>
            <w:r>
              <w:rPr>
                <w:rFonts w:hint="eastAsia" w:ascii="黑体" w:hAnsi="黑体" w:eastAsia="黑体"/>
                <w:spacing w:val="-8"/>
                <w:sz w:val="28"/>
                <w:szCs w:val="28"/>
              </w:rPr>
              <w:t>违法企业</w:t>
            </w:r>
          </w:p>
          <w:p w14:paraId="2E823E0B">
            <w:pPr>
              <w:spacing w:line="280" w:lineRule="exact"/>
              <w:jc w:val="center"/>
              <w:rPr>
                <w:rFonts w:ascii="黑体" w:hAnsi="黑体" w:eastAsia="黑体"/>
                <w:spacing w:val="-8"/>
                <w:sz w:val="28"/>
                <w:szCs w:val="28"/>
              </w:rPr>
            </w:pPr>
            <w:r>
              <w:rPr>
                <w:rFonts w:hint="eastAsia" w:ascii="黑体" w:hAnsi="黑体" w:eastAsia="黑体"/>
                <w:spacing w:val="-8"/>
                <w:sz w:val="28"/>
                <w:szCs w:val="28"/>
              </w:rPr>
              <w:t>统一</w:t>
            </w:r>
            <w:r>
              <w:rPr>
                <w:rFonts w:hint="eastAsia" w:ascii="黑体" w:hAnsi="黑体" w:eastAsia="黑体"/>
                <w:spacing w:val="-8"/>
                <w:sz w:val="28"/>
                <w:szCs w:val="28"/>
                <w:lang w:val="en-US" w:eastAsia="zh-CN"/>
              </w:rPr>
              <w:t>社会</w:t>
            </w:r>
            <w:bookmarkStart w:id="0" w:name="_GoBack"/>
            <w:bookmarkEnd w:id="0"/>
            <w:r>
              <w:rPr>
                <w:rFonts w:hint="eastAsia" w:ascii="黑体" w:hAnsi="黑体" w:eastAsia="黑体"/>
                <w:spacing w:val="-8"/>
                <w:sz w:val="28"/>
                <w:szCs w:val="28"/>
              </w:rPr>
              <w:t>信用代码</w:t>
            </w:r>
          </w:p>
        </w:tc>
        <w:tc>
          <w:tcPr>
            <w:tcW w:w="750" w:type="dxa"/>
            <w:tcBorders>
              <w:bottom w:val="single" w:color="auto" w:sz="4" w:space="0"/>
            </w:tcBorders>
            <w:noWrap w:val="0"/>
            <w:vAlign w:val="center"/>
          </w:tcPr>
          <w:p w14:paraId="7C1183CC">
            <w:pPr>
              <w:spacing w:line="280" w:lineRule="exact"/>
              <w:jc w:val="center"/>
              <w:rPr>
                <w:rFonts w:ascii="黑体" w:hAnsi="黑体" w:eastAsia="黑体"/>
                <w:spacing w:val="-8"/>
                <w:sz w:val="28"/>
                <w:szCs w:val="28"/>
              </w:rPr>
            </w:pPr>
            <w:r>
              <w:rPr>
                <w:rFonts w:hint="eastAsia" w:ascii="黑体" w:hAnsi="黑体" w:eastAsia="黑体"/>
                <w:spacing w:val="-8"/>
                <w:sz w:val="28"/>
                <w:szCs w:val="28"/>
              </w:rPr>
              <w:t>法定代表人姓名</w:t>
            </w:r>
          </w:p>
        </w:tc>
        <w:tc>
          <w:tcPr>
            <w:tcW w:w="6545" w:type="dxa"/>
            <w:tcBorders>
              <w:bottom w:val="single" w:color="auto" w:sz="4" w:space="0"/>
            </w:tcBorders>
            <w:noWrap w:val="0"/>
            <w:vAlign w:val="center"/>
          </w:tcPr>
          <w:p w14:paraId="513039E2">
            <w:pPr>
              <w:spacing w:line="280" w:lineRule="exact"/>
              <w:jc w:val="center"/>
              <w:rPr>
                <w:rFonts w:ascii="黑体" w:hAnsi="黑体" w:eastAsia="黑体"/>
                <w:spacing w:val="-8"/>
                <w:sz w:val="28"/>
                <w:szCs w:val="28"/>
              </w:rPr>
            </w:pPr>
            <w:r>
              <w:rPr>
                <w:rFonts w:hint="eastAsia" w:ascii="黑体" w:hAnsi="黑体" w:eastAsia="黑体"/>
                <w:spacing w:val="-8"/>
                <w:sz w:val="28"/>
                <w:szCs w:val="28"/>
              </w:rPr>
              <w:t>主要违法事实</w:t>
            </w:r>
          </w:p>
        </w:tc>
        <w:tc>
          <w:tcPr>
            <w:tcW w:w="1445" w:type="dxa"/>
            <w:tcBorders>
              <w:bottom w:val="single" w:color="auto" w:sz="4" w:space="0"/>
            </w:tcBorders>
            <w:noWrap w:val="0"/>
            <w:vAlign w:val="center"/>
          </w:tcPr>
          <w:p w14:paraId="499705C8">
            <w:pPr>
              <w:spacing w:line="280" w:lineRule="exact"/>
              <w:jc w:val="center"/>
              <w:rPr>
                <w:rFonts w:ascii="黑体" w:hAnsi="黑体" w:eastAsia="黑体"/>
                <w:spacing w:val="-8"/>
                <w:sz w:val="28"/>
                <w:szCs w:val="28"/>
              </w:rPr>
            </w:pPr>
            <w:r>
              <w:rPr>
                <w:rFonts w:hint="eastAsia" w:ascii="黑体" w:hAnsi="黑体" w:eastAsia="黑体"/>
                <w:spacing w:val="-8"/>
                <w:sz w:val="28"/>
                <w:szCs w:val="28"/>
              </w:rPr>
              <w:t>行政处罚的种类和依据</w:t>
            </w:r>
          </w:p>
        </w:tc>
        <w:tc>
          <w:tcPr>
            <w:tcW w:w="1964" w:type="dxa"/>
            <w:tcBorders>
              <w:bottom w:val="single" w:color="auto" w:sz="4" w:space="0"/>
            </w:tcBorders>
            <w:noWrap w:val="0"/>
            <w:vAlign w:val="center"/>
          </w:tcPr>
          <w:p w14:paraId="16D1B0F3">
            <w:pPr>
              <w:spacing w:line="280" w:lineRule="exact"/>
              <w:jc w:val="center"/>
              <w:rPr>
                <w:rFonts w:ascii="黑体" w:hAnsi="黑体" w:eastAsia="黑体"/>
                <w:spacing w:val="-8"/>
                <w:sz w:val="28"/>
                <w:szCs w:val="28"/>
              </w:rPr>
            </w:pPr>
            <w:r>
              <w:rPr>
                <w:rFonts w:hint="eastAsia" w:ascii="黑体" w:hAnsi="黑体" w:eastAsia="黑体"/>
                <w:spacing w:val="-8"/>
                <w:sz w:val="28"/>
                <w:szCs w:val="28"/>
              </w:rPr>
              <w:t>行政处罚的履行方式和期限</w:t>
            </w:r>
          </w:p>
        </w:tc>
        <w:tc>
          <w:tcPr>
            <w:tcW w:w="676" w:type="dxa"/>
            <w:tcBorders>
              <w:bottom w:val="single" w:color="auto" w:sz="4" w:space="0"/>
            </w:tcBorders>
            <w:noWrap w:val="0"/>
            <w:vAlign w:val="center"/>
          </w:tcPr>
          <w:p w14:paraId="3CE85ACF">
            <w:pPr>
              <w:spacing w:line="280" w:lineRule="exact"/>
              <w:jc w:val="center"/>
              <w:rPr>
                <w:rFonts w:ascii="黑体" w:hAnsi="黑体" w:eastAsia="黑体"/>
                <w:spacing w:val="-8"/>
                <w:sz w:val="28"/>
                <w:szCs w:val="28"/>
              </w:rPr>
            </w:pPr>
            <w:r>
              <w:rPr>
                <w:rFonts w:hint="eastAsia" w:ascii="黑体" w:hAnsi="黑体" w:eastAsia="黑体"/>
                <w:spacing w:val="-8"/>
                <w:sz w:val="28"/>
                <w:szCs w:val="28"/>
              </w:rPr>
              <w:t>作出处罚</w:t>
            </w:r>
          </w:p>
          <w:p w14:paraId="005E27D2">
            <w:pPr>
              <w:spacing w:line="280" w:lineRule="exact"/>
              <w:jc w:val="center"/>
              <w:rPr>
                <w:rFonts w:ascii="黑体" w:hAnsi="黑体" w:eastAsia="黑体"/>
                <w:spacing w:val="-8"/>
                <w:sz w:val="28"/>
                <w:szCs w:val="28"/>
              </w:rPr>
            </w:pPr>
            <w:r>
              <w:rPr>
                <w:rFonts w:hint="eastAsia" w:ascii="黑体" w:hAnsi="黑体" w:eastAsia="黑体"/>
                <w:spacing w:val="-8"/>
                <w:sz w:val="28"/>
                <w:szCs w:val="28"/>
              </w:rPr>
              <w:t>的日期</w:t>
            </w:r>
          </w:p>
        </w:tc>
      </w:tr>
      <w:tr w14:paraId="144436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5" w:hRule="atLeast"/>
        </w:trPr>
        <w:tc>
          <w:tcPr>
            <w:tcW w:w="459" w:type="dxa"/>
            <w:tcBorders>
              <w:top w:val="single" w:color="auto" w:sz="4" w:space="0"/>
              <w:left w:val="single" w:color="auto" w:sz="4" w:space="0"/>
              <w:bottom w:val="single" w:color="auto" w:sz="4" w:space="0"/>
            </w:tcBorders>
            <w:noWrap w:val="0"/>
            <w:vAlign w:val="center"/>
          </w:tcPr>
          <w:p w14:paraId="5469EA91">
            <w:pPr>
              <w:keepNext w:val="0"/>
              <w:keepLines w:val="0"/>
              <w:pageBreakBefore w:val="0"/>
              <w:kinsoku/>
              <w:overflowPunct/>
              <w:autoSpaceDE/>
              <w:autoSpaceDN/>
              <w:bidi w:val="0"/>
              <w:adjustRightInd/>
              <w:snapToGrid/>
              <w:spacing w:line="280" w:lineRule="exact"/>
              <w:jc w:val="center"/>
              <w:rPr>
                <w:rFonts w:ascii="仿宋_GB2312" w:hAnsi="Calibri" w:eastAsia="仿宋_GB2312"/>
                <w:bCs/>
                <w:szCs w:val="21"/>
              </w:rPr>
            </w:pPr>
            <w:r>
              <w:rPr>
                <w:rFonts w:hint="eastAsia" w:ascii="仿宋_GB2312" w:hAnsi="Calibri" w:eastAsia="仿宋_GB2312"/>
                <w:bCs/>
                <w:szCs w:val="21"/>
              </w:rPr>
              <w:t>1</w:t>
            </w:r>
          </w:p>
        </w:tc>
        <w:tc>
          <w:tcPr>
            <w:tcW w:w="975" w:type="dxa"/>
            <w:tcBorders>
              <w:top w:val="single" w:color="auto" w:sz="4" w:space="0"/>
              <w:bottom w:val="single" w:color="auto" w:sz="4" w:space="0"/>
            </w:tcBorders>
            <w:noWrap w:val="0"/>
            <w:vAlign w:val="center"/>
          </w:tcPr>
          <w:p w14:paraId="77FE18A5">
            <w:pPr>
              <w:keepNext w:val="0"/>
              <w:keepLines w:val="0"/>
              <w:pageBreakBefore w:val="0"/>
              <w:kinsoku/>
              <w:overflowPunct/>
              <w:autoSpaceDE/>
              <w:autoSpaceDN/>
              <w:bidi w:val="0"/>
              <w:adjustRightInd/>
              <w:snapToGrid/>
              <w:spacing w:line="280" w:lineRule="exact"/>
              <w:jc w:val="center"/>
              <w:rPr>
                <w:rFonts w:hint="eastAsia" w:ascii="仿宋_GB2312" w:hAnsi="仿宋_GB2312" w:eastAsia="仿宋_GB2312" w:cs="仿宋_GB2312"/>
                <w:sz w:val="24"/>
                <w:szCs w:val="24"/>
                <w:lang w:eastAsia="zh-CN"/>
              </w:rPr>
            </w:pPr>
          </w:p>
          <w:p w14:paraId="666FB599">
            <w:pPr>
              <w:keepNext w:val="0"/>
              <w:keepLines w:val="0"/>
              <w:pageBreakBefore w:val="0"/>
              <w:kinsoku/>
              <w:overflowPunct/>
              <w:autoSpaceDE/>
              <w:autoSpaceDN/>
              <w:bidi w:val="0"/>
              <w:adjustRightInd/>
              <w:snapToGrid/>
              <w:spacing w:line="280" w:lineRule="exact"/>
              <w:jc w:val="center"/>
              <w:rPr>
                <w:rFonts w:hint="eastAsia" w:ascii="仿宋_GB2312" w:hAnsi="仿宋_GB2312" w:eastAsia="仿宋_GB2312" w:cs="仿宋_GB2312"/>
                <w:sz w:val="24"/>
                <w:szCs w:val="24"/>
                <w:lang w:eastAsia="zh-CN"/>
              </w:rPr>
            </w:pPr>
          </w:p>
          <w:p w14:paraId="05419B34">
            <w:pPr>
              <w:keepNext w:val="0"/>
              <w:keepLines w:val="0"/>
              <w:pageBreakBefore w:val="0"/>
              <w:kinsoku/>
              <w:overflowPunct/>
              <w:autoSpaceDE/>
              <w:autoSpaceDN/>
              <w:bidi w:val="0"/>
              <w:adjustRightInd/>
              <w:snapToGrid/>
              <w:spacing w:line="280" w:lineRule="exact"/>
              <w:jc w:val="center"/>
              <w:rPr>
                <w:rFonts w:hint="eastAsia" w:ascii="仿宋_GB2312" w:hAnsi="仿宋_GB2312" w:eastAsia="仿宋_GB2312" w:cs="仿宋_GB2312"/>
                <w:sz w:val="24"/>
                <w:szCs w:val="24"/>
                <w:lang w:eastAsia="zh-CN"/>
              </w:rPr>
            </w:pPr>
          </w:p>
          <w:p w14:paraId="27740066">
            <w:pPr>
              <w:keepNext w:val="0"/>
              <w:keepLines w:val="0"/>
              <w:pageBreakBefore w:val="0"/>
              <w:kinsoku/>
              <w:overflowPunct/>
              <w:autoSpaceDE/>
              <w:autoSpaceDN/>
              <w:bidi w:val="0"/>
              <w:adjustRightInd/>
              <w:snapToGrid/>
              <w:spacing w:line="280" w:lineRule="exact"/>
              <w:jc w:val="center"/>
              <w:rPr>
                <w:rFonts w:hint="eastAsia" w:ascii="仿宋_GB2312" w:hAnsi="仿宋_GB2312" w:eastAsia="仿宋_GB2312" w:cs="仿宋_GB2312"/>
                <w:sz w:val="24"/>
                <w:szCs w:val="24"/>
                <w:lang w:eastAsia="zh-CN"/>
              </w:rPr>
            </w:pPr>
          </w:p>
          <w:p w14:paraId="13B1BE47">
            <w:pPr>
              <w:keepNext w:val="0"/>
              <w:keepLines w:val="0"/>
              <w:pageBreakBefore w:val="0"/>
              <w:widowControl w:val="0"/>
              <w:kinsoku/>
              <w:wordWrap/>
              <w:overflowPunct/>
              <w:topLinePunct/>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p>
          <w:p w14:paraId="603C17FC">
            <w:pPr>
              <w:keepNext w:val="0"/>
              <w:keepLines w:val="0"/>
              <w:pageBreakBefore w:val="0"/>
              <w:widowControl w:val="0"/>
              <w:kinsoku/>
              <w:wordWrap/>
              <w:overflowPunct/>
              <w:topLinePunct/>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&#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iia2gAAAAsBAAAPAAAAAAAAAAEAIAAAACIAAABk&#10;cnMvZG93bnJldi54bWxQSwECFAAUAAAACACHTuJA5sQT9gQCAAD+AwAADgAAAAAAAAABACAAAAAp&#10;AQAAZHJzL2Uyb0RvYy54bWxQSwUGAAAAAAYABgBZAQAAnwUAAAAA&#10;">
                      <v:fill on="f" focussize="0,0"/>
                      <v:stroke weight="1.5pt" color="#000000" joinstyle="round" endcap="square"/>
                      <v:imagedata o:title=""/>
                      <o:lock v:ext="edit" aspectratio="f"/>
                    </v:shape>
                  </w:pict>
                </mc:Fallback>
              </mc:AlternateContent>
            </w:r>
            <w:r>
              <w:rPr>
                <w:rFonts w:hint="eastAsia" w:ascii="仿宋_GB2312" w:hAnsi="仿宋_GB2312" w:eastAsia="仿宋_GB2312" w:cs="仿宋_GB2312"/>
                <w:sz w:val="24"/>
                <w:szCs w:val="24"/>
                <w:lang w:eastAsia="zh-CN"/>
              </w:rPr>
              <w:t>西市监处罚〔202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〕0</w:t>
            </w:r>
            <w:r>
              <w:rPr>
                <w:rFonts w:hint="eastAsia" w:ascii="仿宋_GB2312" w:hAnsi="仿宋_GB2312" w:eastAsia="仿宋_GB2312" w:cs="仿宋_GB2312"/>
                <w:sz w:val="24"/>
                <w:szCs w:val="24"/>
                <w:lang w:val="en-US" w:eastAsia="zh-CN"/>
              </w:rPr>
              <w:t>394</w:t>
            </w:r>
            <w:r>
              <w:rPr>
                <w:rFonts w:hint="eastAsia" w:ascii="仿宋_GB2312" w:hAnsi="仿宋_GB2312" w:eastAsia="仿宋_GB2312" w:cs="仿宋_GB2312"/>
                <w:sz w:val="24"/>
                <w:szCs w:val="24"/>
                <w:lang w:eastAsia="zh-CN"/>
              </w:rPr>
              <w:t>号</w:t>
            </w:r>
          </w:p>
          <w:p w14:paraId="7B88648A">
            <w:pPr>
              <w:keepNext w:val="0"/>
              <w:keepLines w:val="0"/>
              <w:pageBreakBefore w:val="0"/>
              <w:kinsoku/>
              <w:overflowPunct/>
              <w:autoSpaceDE/>
              <w:autoSpaceDN/>
              <w:bidi w:val="0"/>
              <w:adjustRightInd/>
              <w:snapToGrid/>
              <w:spacing w:line="280" w:lineRule="exact"/>
              <w:jc w:val="center"/>
              <w:rPr>
                <w:rFonts w:hint="eastAsia" w:ascii="仿宋_GB2312" w:hAnsi="仿宋_GB2312" w:eastAsia="仿宋_GB2312" w:cs="仿宋_GB2312"/>
                <w:sz w:val="24"/>
                <w:szCs w:val="24"/>
                <w:lang w:eastAsia="zh-CN"/>
              </w:rPr>
            </w:pPr>
          </w:p>
        </w:tc>
        <w:tc>
          <w:tcPr>
            <w:tcW w:w="879" w:type="dxa"/>
            <w:tcBorders>
              <w:top w:val="single" w:color="auto" w:sz="4" w:space="0"/>
              <w:bottom w:val="single" w:color="auto" w:sz="4" w:space="0"/>
            </w:tcBorders>
            <w:noWrap w:val="0"/>
            <w:vAlign w:val="center"/>
          </w:tcPr>
          <w:p w14:paraId="1D4590F0">
            <w:pPr>
              <w:keepNext w:val="0"/>
              <w:keepLines w:val="0"/>
              <w:pageBreakBefore w:val="0"/>
              <w:kinsoku/>
              <w:overflowPunct/>
              <w:autoSpaceDE/>
              <w:autoSpaceDN/>
              <w:bidi w:val="0"/>
              <w:adjustRightInd/>
              <w:snapToGrid/>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西安益缘贝乳业有限公司不正当竞争案</w:t>
            </w:r>
          </w:p>
        </w:tc>
        <w:tc>
          <w:tcPr>
            <w:tcW w:w="1200" w:type="dxa"/>
            <w:tcBorders>
              <w:top w:val="single" w:color="auto" w:sz="4" w:space="0"/>
              <w:bottom w:val="single" w:color="auto" w:sz="4" w:space="0"/>
            </w:tcBorders>
            <w:noWrap w:val="0"/>
            <w:vAlign w:val="center"/>
          </w:tcPr>
          <w:p w14:paraId="0FB4F3A6">
            <w:pPr>
              <w:keepNext w:val="0"/>
              <w:keepLines w:val="0"/>
              <w:pageBreakBefore w:val="0"/>
              <w:kinsoku/>
              <w:overflowPunct/>
              <w:autoSpaceDE/>
              <w:autoSpaceDN/>
              <w:bidi w:val="0"/>
              <w:adjustRightInd/>
              <w:snapToGrid/>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西安益缘贝乳业有限公司</w:t>
            </w:r>
          </w:p>
        </w:tc>
        <w:tc>
          <w:tcPr>
            <w:tcW w:w="1091" w:type="dxa"/>
            <w:tcBorders>
              <w:top w:val="single" w:color="auto" w:sz="4" w:space="0"/>
              <w:bottom w:val="single" w:color="auto" w:sz="4" w:space="0"/>
            </w:tcBorders>
            <w:noWrap w:val="0"/>
            <w:vAlign w:val="center"/>
          </w:tcPr>
          <w:p w14:paraId="04F24EEB">
            <w:pPr>
              <w:keepNext w:val="0"/>
              <w:keepLines w:val="0"/>
              <w:pageBreakBefore w:val="0"/>
              <w:widowControl/>
              <w:kinsoku/>
              <w:overflowPunct/>
              <w:autoSpaceDE/>
              <w:autoSpaceDN/>
              <w:bidi w:val="0"/>
              <w:adjustRightInd/>
              <w:snapToGrid/>
              <w:spacing w:line="28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91610133MA6U3Q8L53 </w:t>
            </w:r>
          </w:p>
        </w:tc>
        <w:tc>
          <w:tcPr>
            <w:tcW w:w="750" w:type="dxa"/>
            <w:tcBorders>
              <w:top w:val="single" w:color="auto" w:sz="4" w:space="0"/>
              <w:bottom w:val="single" w:color="auto" w:sz="4" w:space="0"/>
            </w:tcBorders>
            <w:noWrap w:val="0"/>
            <w:vAlign w:val="center"/>
          </w:tcPr>
          <w:p w14:paraId="6E7568A9">
            <w:pPr>
              <w:keepNext w:val="0"/>
              <w:keepLines w:val="0"/>
              <w:pageBreakBefore w:val="0"/>
              <w:widowControl/>
              <w:kinsoku/>
              <w:overflowPunct/>
              <w:autoSpaceDE/>
              <w:autoSpaceDN/>
              <w:bidi w:val="0"/>
              <w:adjustRightInd/>
              <w:snapToGrid/>
              <w:spacing w:line="28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周</w:t>
            </w:r>
          </w:p>
          <w:p w14:paraId="21948F95">
            <w:pPr>
              <w:keepNext w:val="0"/>
              <w:keepLines w:val="0"/>
              <w:pageBreakBefore w:val="0"/>
              <w:widowControl/>
              <w:kinsoku/>
              <w:overflowPunct/>
              <w:autoSpaceDE/>
              <w:autoSpaceDN/>
              <w:bidi w:val="0"/>
              <w:adjustRightInd/>
              <w:snapToGrid/>
              <w:spacing w:line="28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文</w:t>
            </w:r>
          </w:p>
          <w:p w14:paraId="74D0B586">
            <w:pPr>
              <w:keepNext w:val="0"/>
              <w:keepLines w:val="0"/>
              <w:pageBreakBefore w:val="0"/>
              <w:widowControl/>
              <w:kinsoku/>
              <w:overflowPunct/>
              <w:autoSpaceDE/>
              <w:autoSpaceDN/>
              <w:bidi w:val="0"/>
              <w:adjustRightInd/>
              <w:snapToGrid/>
              <w:spacing w:line="28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 xml:space="preserve">有    </w:t>
            </w:r>
          </w:p>
        </w:tc>
        <w:tc>
          <w:tcPr>
            <w:tcW w:w="6545" w:type="dxa"/>
            <w:tcBorders>
              <w:top w:val="single" w:color="auto" w:sz="4" w:space="0"/>
              <w:bottom w:val="single" w:color="auto" w:sz="4" w:space="0"/>
            </w:tcBorders>
            <w:noWrap w:val="0"/>
            <w:vAlign w:val="center"/>
          </w:tcPr>
          <w:p w14:paraId="2AE816A0">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经查，</w:t>
            </w:r>
            <w:r>
              <w:rPr>
                <w:rFonts w:hint="eastAsia" w:ascii="仿宋_GB2312" w:hAnsi="仿宋_GB2312" w:eastAsia="仿宋_GB2312" w:cs="仿宋_GB2312"/>
                <w:sz w:val="24"/>
                <w:szCs w:val="24"/>
                <w:lang w:val="en-US" w:eastAsia="zh-CN"/>
              </w:rPr>
              <w:t>CCTV是China Central Television的简称，中文名称为中国中央电视台，是国务院直属正部级事业单位中央广播电视总台所属的中华人民共和国的国家电视台，成立于1958年05月01日。2017年11月27日，当事人与北京中视天晴阳光广告有限公司签订了《中央电视台广告发布合同》(NO.20171127），约定当事人（甲方）委托北京中视天晴阳光广告有限公司（乙方）在CCTV-1、CCTV-2、CCTV-7频道播出当事人广告节目，广告内容为“益缘贝”企业形象及产品，播出时间为2018年1月1日-2018年2月25日，广告时长5秒，播出次数二个月/8周/67次，广告费用75000元。此合同双方已履行完毕。</w:t>
            </w:r>
          </w:p>
          <w:p w14:paraId="5837F2D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2022年02月10日</w:t>
            </w:r>
            <w:r>
              <w:rPr>
                <w:rFonts w:hint="eastAsia" w:ascii="仿宋_GB2312" w:hAnsi="仿宋_GB2312" w:eastAsia="仿宋_GB2312" w:cs="仿宋_GB2312"/>
                <w:sz w:val="24"/>
                <w:szCs w:val="24"/>
              </w:rPr>
              <w:t>当事人</w:t>
            </w:r>
            <w:r>
              <w:rPr>
                <w:rFonts w:hint="eastAsia" w:ascii="仿宋_GB2312" w:hAnsi="仿宋_GB2312" w:eastAsia="仿宋_GB2312" w:cs="仿宋_GB2312"/>
                <w:sz w:val="24"/>
                <w:szCs w:val="24"/>
                <w:lang w:eastAsia="zh-CN"/>
              </w:rPr>
              <w:t>西安益缘贝乳业有限公司与河南宝乐奶业有限公司（统一社会信用代码</w:t>
            </w:r>
            <w:r>
              <w:rPr>
                <w:rFonts w:hint="eastAsia" w:ascii="仿宋_GB2312" w:hAnsi="仿宋_GB2312" w:eastAsia="仿宋_GB2312" w:cs="仿宋_GB2312"/>
                <w:sz w:val="24"/>
                <w:szCs w:val="24"/>
                <w:lang w:val="en-US" w:eastAsia="zh-CN"/>
              </w:rPr>
              <w:t>91411621724103128G</w:t>
            </w:r>
            <w:r>
              <w:rPr>
                <w:rFonts w:hint="eastAsia" w:ascii="仿宋_GB2312" w:hAnsi="仿宋_GB2312" w:eastAsia="仿宋_GB2312" w:cs="仿宋_GB2312"/>
                <w:sz w:val="24"/>
                <w:szCs w:val="24"/>
                <w:lang w:eastAsia="zh-CN"/>
              </w:rPr>
              <w:t>）签订《委托生产产品合作协议》</w:t>
            </w:r>
            <w:r>
              <w:rPr>
                <w:rFonts w:hint="eastAsia" w:ascii="仿宋_GB2312" w:hAnsi="仿宋_GB2312" w:eastAsia="仿宋_GB2312" w:cs="仿宋_GB2312"/>
                <w:sz w:val="24"/>
                <w:szCs w:val="24"/>
                <w:lang w:val="en-US" w:eastAsia="zh-CN"/>
              </w:rPr>
              <w:t>,约定当事人（甲方）委托</w:t>
            </w:r>
            <w:r>
              <w:rPr>
                <w:rFonts w:hint="eastAsia" w:ascii="仿宋_GB2312" w:hAnsi="仿宋_GB2312" w:eastAsia="仿宋_GB2312" w:cs="仿宋_GB2312"/>
                <w:sz w:val="24"/>
                <w:szCs w:val="24"/>
                <w:lang w:eastAsia="zh-CN"/>
              </w:rPr>
              <w:t>河南宝乐奶业有限公司（乙方）生产制造“益缘贝”系列产品，由当事人设计产品的包装和内容物，河南宝乐奶业有限公司提供产品批文和检验报告。截止到</w:t>
            </w:r>
            <w:r>
              <w:rPr>
                <w:rFonts w:hint="eastAsia" w:ascii="仿宋_GB2312" w:hAnsi="仿宋_GB2312" w:eastAsia="仿宋_GB2312" w:cs="仿宋_GB2312"/>
                <w:sz w:val="24"/>
                <w:szCs w:val="24"/>
                <w:lang w:val="en-US" w:eastAsia="zh-CN"/>
              </w:rPr>
              <w:t>2022年07月19日，根据当事人要求，</w:t>
            </w:r>
            <w:r>
              <w:rPr>
                <w:rFonts w:hint="eastAsia" w:ascii="仿宋_GB2312" w:hAnsi="仿宋_GB2312" w:eastAsia="仿宋_GB2312" w:cs="仿宋_GB2312"/>
                <w:sz w:val="24"/>
                <w:szCs w:val="24"/>
                <w:lang w:eastAsia="zh-CN"/>
              </w:rPr>
              <w:t>河南宝乐奶业有限公司分别于</w:t>
            </w:r>
            <w:r>
              <w:rPr>
                <w:rFonts w:hint="eastAsia" w:ascii="仿宋_GB2312" w:hAnsi="仿宋_GB2312" w:eastAsia="仿宋_GB2312" w:cs="仿宋_GB2312"/>
                <w:sz w:val="24"/>
                <w:szCs w:val="24"/>
                <w:lang w:val="en-US" w:eastAsia="zh-CN"/>
              </w:rPr>
              <w:t>2022年04月02日和2022年05月11日为当事人生产了2批次“益缘贝羊乳酸菌饮品”。其中2022年04月02生产“益缘贝羊乳酸菌饮品”（生产批次20220402，规格1*48*180ml）数量合计225件，</w:t>
            </w:r>
            <w:r>
              <w:rPr>
                <w:rFonts w:hint="eastAsia" w:ascii="仿宋_GB2312" w:hAnsi="仿宋_GB2312" w:eastAsia="仿宋_GB2312" w:cs="仿宋_GB2312"/>
                <w:sz w:val="24"/>
                <w:szCs w:val="24"/>
                <w:lang w:eastAsia="zh-CN"/>
              </w:rPr>
              <w:t>河南宝乐奶业有限公司收到</w:t>
            </w:r>
            <w:r>
              <w:rPr>
                <w:rFonts w:hint="eastAsia" w:ascii="仿宋_GB2312" w:hAnsi="仿宋_GB2312" w:eastAsia="仿宋_GB2312" w:cs="仿宋_GB2312"/>
                <w:sz w:val="24"/>
                <w:szCs w:val="24"/>
                <w:lang w:val="en-US" w:eastAsia="zh-CN"/>
              </w:rPr>
              <w:t>当事人货款5625元；2022年05月11日生产“益缘贝羊乳酸菌饮品”（生产批次20220511，规格1*6*180ml）数量合计5589件，</w:t>
            </w:r>
            <w:r>
              <w:rPr>
                <w:rFonts w:hint="eastAsia" w:ascii="仿宋_GB2312" w:hAnsi="仿宋_GB2312" w:eastAsia="仿宋_GB2312" w:cs="仿宋_GB2312"/>
                <w:sz w:val="24"/>
                <w:szCs w:val="24"/>
                <w:lang w:eastAsia="zh-CN"/>
              </w:rPr>
              <w:t>河南宝乐奶业有限公司收到</w:t>
            </w:r>
            <w:r>
              <w:rPr>
                <w:rFonts w:hint="eastAsia" w:ascii="仿宋_GB2312" w:hAnsi="仿宋_GB2312" w:eastAsia="仿宋_GB2312" w:cs="仿宋_GB2312"/>
                <w:sz w:val="24"/>
                <w:szCs w:val="24"/>
                <w:lang w:val="en-US" w:eastAsia="zh-CN"/>
              </w:rPr>
              <w:t>当事人货款18443.7元，两次共计24068.7元。上述2批次共计5814箱“益缘贝羊乳酸菌饮品”的外包装均由当事人设计、提供，均印制有“著名表演艺术家：朱时茂”字样及朱时茂形象照片、“益缘贝®”字样和“CCTV央视展播品牌”字样。截止到2022年06月16日，上述所有产品均已售罄，销售金额为41555元。</w:t>
            </w:r>
          </w:p>
          <w:p w14:paraId="5AB4097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当事人提供了“益缘贝”的《商标注册证》（有效期至2026年08月20日）和《商标转让申请受理通知书》（2018年12月17日），证明当事人合法使用“益缘贝”商标。提供了其与朱时茂签订的《肖像使用合同》和《肖像授权书》，证明当事人合法使用朱时茂形象。但当事人与北京中视天晴阳光广告有限公司签订的《中央电视台广告发布合同》仅约定“益缘贝”企业形象及产品在CCTV-1、CCTV-2、CCTV-7播出内容、播出时间、播出次数、广告费用等，并未约定当事人可使用“CCTV”名称及标识进行商业宣传。当事人擅自将“CCTV”字样印制在其产品外包装上，使人误认为其销售的“益缘贝羊乳酸菌饮品”与“CCTV”有特定联系，系利用消费者对“CCTV”的信任达到宣传其产品的目的。</w:t>
            </w:r>
          </w:p>
          <w:p w14:paraId="367208E1">
            <w:pPr>
              <w:keepNext w:val="0"/>
              <w:keepLines w:val="0"/>
              <w:pageBreakBefore w:val="0"/>
              <w:widowControl/>
              <w:kinsoku/>
              <w:overflowPunct/>
              <w:autoSpaceDE/>
              <w:autoSpaceDN/>
              <w:bidi w:val="0"/>
              <w:adjustRightInd/>
              <w:snapToGrid/>
              <w:spacing w:line="280" w:lineRule="exact"/>
              <w:ind w:firstLine="360" w:firstLineChars="200"/>
              <w:jc w:val="left"/>
              <w:textAlignment w:val="center"/>
              <w:rPr>
                <w:rFonts w:hint="eastAsia" w:ascii="仿宋_GB2312" w:hAnsi="仿宋_GB2312" w:eastAsia="仿宋_GB2312" w:cs="仿宋_GB2312"/>
                <w:color w:val="000000"/>
                <w:sz w:val="18"/>
                <w:szCs w:val="18"/>
              </w:rPr>
            </w:pPr>
          </w:p>
        </w:tc>
        <w:tc>
          <w:tcPr>
            <w:tcW w:w="1445" w:type="dxa"/>
            <w:tcBorders>
              <w:top w:val="single" w:color="auto" w:sz="4" w:space="0"/>
              <w:bottom w:val="single" w:color="auto" w:sz="4" w:space="0"/>
            </w:tcBorders>
            <w:noWrap w:val="0"/>
            <w:vAlign w:val="center"/>
          </w:tcPr>
          <w:p w14:paraId="39747AA1">
            <w:pPr>
              <w:keepNext w:val="0"/>
              <w:keepLines w:val="0"/>
              <w:pageBreakBefore w:val="0"/>
              <w:kinsoku/>
              <w:overflowPunct/>
              <w:autoSpaceDE/>
              <w:autoSpaceDN/>
              <w:bidi w:val="0"/>
              <w:adjustRightInd/>
              <w:snapToGrid/>
              <w:spacing w:line="28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罚款人民币</w:t>
            </w:r>
            <w:r>
              <w:rPr>
                <w:rFonts w:hint="eastAsia" w:ascii="仿宋_GB2312" w:hAnsi="仿宋_GB2312" w:eastAsia="仿宋_GB2312" w:cs="仿宋_GB2312"/>
                <w:sz w:val="24"/>
                <w:szCs w:val="24"/>
                <w:lang w:val="en-US" w:eastAsia="zh-CN"/>
              </w:rPr>
              <w:t>10,000</w:t>
            </w:r>
            <w:r>
              <w:rPr>
                <w:rFonts w:hint="eastAsia" w:ascii="仿宋_GB2312" w:hAnsi="仿宋_GB2312" w:eastAsia="仿宋_GB2312" w:cs="仿宋_GB2312"/>
                <w:sz w:val="24"/>
                <w:szCs w:val="24"/>
                <w:lang w:eastAsia="zh-CN"/>
              </w:rPr>
              <w:t>元整。</w:t>
            </w:r>
          </w:p>
          <w:p w14:paraId="3215918A">
            <w:pPr>
              <w:keepNext w:val="0"/>
              <w:keepLines w:val="0"/>
              <w:pageBreakBefore w:val="0"/>
              <w:kinsoku/>
              <w:overflowPunct/>
              <w:autoSpaceDE/>
              <w:autoSpaceDN/>
              <w:bidi w:val="0"/>
              <w:adjustRightInd/>
              <w:snapToGrid/>
              <w:spacing w:line="28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535EBE5">
            <w:pPr>
              <w:keepNext w:val="0"/>
              <w:keepLines w:val="0"/>
              <w:pageBreakBefore w:val="0"/>
              <w:widowControl w:val="0"/>
              <w:kinsoku/>
              <w:wordWrap w:val="0"/>
              <w:overflowPunct/>
              <w:topLinePunct/>
              <w:autoSpaceDE/>
              <w:autoSpaceDN/>
              <w:bidi w:val="0"/>
              <w:adjustRightInd/>
              <w:snapToGrid/>
              <w:spacing w:line="28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依据《中华人民共和国反不正当竞争法》第十八条第一款和《中华人民共和国行政处罚法》第五条第二款、第六条、第三十二条第一项的规定</w:t>
            </w:r>
          </w:p>
          <w:p w14:paraId="52A35539">
            <w:pPr>
              <w:keepNext w:val="0"/>
              <w:keepLines w:val="0"/>
              <w:pageBreakBefore w:val="0"/>
              <w:widowControl w:val="0"/>
              <w:kinsoku/>
              <w:wordWrap w:val="0"/>
              <w:overflowPunct/>
              <w:topLinePunct/>
              <w:autoSpaceDE/>
              <w:autoSpaceDN/>
              <w:bidi w:val="0"/>
              <w:adjustRightInd/>
              <w:snapToGrid/>
              <w:spacing w:line="280" w:lineRule="exact"/>
              <w:ind w:firstLine="360" w:firstLineChars="200"/>
              <w:jc w:val="left"/>
              <w:textAlignment w:val="auto"/>
              <w:rPr>
                <w:rFonts w:hint="eastAsia" w:ascii="仿宋_GB2312" w:hAnsi="仿宋_GB2312" w:eastAsia="仿宋_GB2312" w:cs="仿宋_GB2312"/>
                <w:sz w:val="18"/>
                <w:szCs w:val="18"/>
              </w:rPr>
            </w:pPr>
          </w:p>
          <w:p w14:paraId="06940269">
            <w:pPr>
              <w:keepNext w:val="0"/>
              <w:keepLines w:val="0"/>
              <w:pageBreakBefore w:val="0"/>
              <w:kinsoku/>
              <w:overflowPunct/>
              <w:autoSpaceDE/>
              <w:autoSpaceDN/>
              <w:bidi w:val="0"/>
              <w:adjustRightInd/>
              <w:snapToGrid/>
              <w:spacing w:line="280" w:lineRule="exact"/>
              <w:ind w:firstLine="360" w:firstLineChars="200"/>
              <w:jc w:val="left"/>
              <w:rPr>
                <w:rFonts w:hint="eastAsia" w:ascii="仿宋_GB2312" w:hAnsi="仿宋_GB2312" w:eastAsia="仿宋_GB2312" w:cs="仿宋_GB2312"/>
                <w:sz w:val="18"/>
                <w:szCs w:val="18"/>
              </w:rPr>
            </w:pPr>
          </w:p>
          <w:p w14:paraId="623C9620">
            <w:pPr>
              <w:keepNext w:val="0"/>
              <w:keepLines w:val="0"/>
              <w:pageBreakBefore w:val="0"/>
              <w:kinsoku/>
              <w:overflowPunct/>
              <w:autoSpaceDE/>
              <w:autoSpaceDN/>
              <w:bidi w:val="0"/>
              <w:adjustRightInd/>
              <w:snapToGrid/>
              <w:spacing w:line="280" w:lineRule="exact"/>
              <w:ind w:firstLine="360" w:firstLineChars="200"/>
              <w:jc w:val="left"/>
              <w:rPr>
                <w:rFonts w:hint="eastAsia" w:ascii="仿宋_GB2312" w:hAnsi="仿宋_GB2312" w:eastAsia="仿宋_GB2312" w:cs="仿宋_GB2312"/>
                <w:sz w:val="18"/>
                <w:szCs w:val="18"/>
                <w:lang w:eastAsia="zh-CN"/>
              </w:rPr>
            </w:pPr>
          </w:p>
        </w:tc>
        <w:tc>
          <w:tcPr>
            <w:tcW w:w="1964" w:type="dxa"/>
            <w:tcBorders>
              <w:top w:val="single" w:color="auto" w:sz="4" w:space="0"/>
              <w:bottom w:val="single" w:color="auto" w:sz="4" w:space="0"/>
            </w:tcBorders>
            <w:noWrap w:val="0"/>
            <w:vAlign w:val="center"/>
          </w:tcPr>
          <w:p w14:paraId="7C56166C">
            <w:pPr>
              <w:keepNext w:val="0"/>
              <w:keepLines w:val="0"/>
              <w:pageBreakBefore w:val="0"/>
              <w:kinsoku/>
              <w:overflowPunct/>
              <w:autoSpaceDE/>
              <w:autoSpaceDN/>
              <w:bidi w:val="0"/>
              <w:adjustRightInd/>
              <w:snapToGrid/>
              <w:spacing w:line="280" w:lineRule="exact"/>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2022年08月31日，我局向当事人送达了《行政处罚告知书》（西市监罚告〔2022〕0396号）。</w:t>
            </w:r>
          </w:p>
          <w:p w14:paraId="183C6948">
            <w:pPr>
              <w:keepNext w:val="0"/>
              <w:keepLines w:val="0"/>
              <w:pageBreakBefore w:val="0"/>
              <w:kinsoku/>
              <w:overflowPunct/>
              <w:autoSpaceDE/>
              <w:autoSpaceDN/>
              <w:bidi w:val="0"/>
              <w:adjustRightInd/>
              <w:snapToGrid/>
              <w:spacing w:line="280" w:lineRule="exact"/>
              <w:ind w:firstLine="240" w:firstLineChars="10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24"/>
                <w:szCs w:val="24"/>
                <w:lang w:val="en-US" w:eastAsia="zh-CN"/>
              </w:rPr>
              <w:t>当事人应当在每次缴款时间届满前缴清当期缴款数额，到期不缴纳的，依据《中华人民共和国行政处罚法》第七十二条的规定，本局将每日按罚款数额的百分之三加处罚款，加处罚款的数额不超过罚款本数，并将依法申请人民法院强制执行。</w:t>
            </w:r>
          </w:p>
        </w:tc>
        <w:tc>
          <w:tcPr>
            <w:tcW w:w="676" w:type="dxa"/>
            <w:tcBorders>
              <w:top w:val="single" w:color="auto" w:sz="4" w:space="0"/>
              <w:bottom w:val="single" w:color="auto" w:sz="4" w:space="0"/>
              <w:right w:val="single" w:color="auto" w:sz="4" w:space="0"/>
            </w:tcBorders>
            <w:noWrap w:val="0"/>
            <w:vAlign w:val="center"/>
          </w:tcPr>
          <w:p w14:paraId="532F920F">
            <w:pPr>
              <w:keepNext w:val="0"/>
              <w:keepLines w:val="0"/>
              <w:pageBreakBefore w:val="0"/>
              <w:widowControl w:val="0"/>
              <w:kinsoku/>
              <w:wordWrap/>
              <w:overflowPunct/>
              <w:topLinePunct/>
              <w:autoSpaceDE/>
              <w:autoSpaceDN/>
              <w:bidi w:val="0"/>
              <w:adjustRightInd/>
              <w:snapToGrid/>
              <w:spacing w:line="280" w:lineRule="exact"/>
              <w:jc w:val="center"/>
              <w:textAlignment w:val="auto"/>
              <w:rPr>
                <w:rFonts w:hint="default" w:ascii="仿宋_GB2312" w:hAnsi="Calibri" w:eastAsia="仿宋_GB2312"/>
                <w:szCs w:val="21"/>
                <w:lang w:val="en-US" w:eastAsia="zh-CN"/>
              </w:rPr>
            </w:pPr>
            <w:r>
              <w:rPr>
                <w:rFonts w:hint="eastAsia" w:ascii="仿宋_GB2312" w:hAnsi="仿宋_GB2312" w:eastAsia="仿宋_GB2312" w:cs="仿宋_GB2312"/>
                <w:sz w:val="24"/>
                <w:szCs w:val="24"/>
                <w:lang w:val="en-US" w:eastAsia="zh-CN"/>
              </w:rPr>
              <w:t>2022年09月14日</w:t>
            </w:r>
          </w:p>
        </w:tc>
      </w:tr>
    </w:tbl>
    <w:p w14:paraId="5EADE67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ZWE3OTVjMzE4ZGM1YzZjNmVkNjA3OGUxMDkzYjcifQ=="/>
  </w:docVars>
  <w:rsids>
    <w:rsidRoot w:val="00000000"/>
    <w:rsid w:val="003532FE"/>
    <w:rsid w:val="08C65096"/>
    <w:rsid w:val="0D904732"/>
    <w:rsid w:val="0DED62DF"/>
    <w:rsid w:val="1A154A62"/>
    <w:rsid w:val="28770B09"/>
    <w:rsid w:val="2BBF6B6D"/>
    <w:rsid w:val="2CF12823"/>
    <w:rsid w:val="35583148"/>
    <w:rsid w:val="487877F8"/>
    <w:rsid w:val="4A662E1D"/>
    <w:rsid w:val="4BFE3061"/>
    <w:rsid w:val="51067963"/>
    <w:rsid w:val="54FA65FB"/>
    <w:rsid w:val="55D8213A"/>
    <w:rsid w:val="5A80010A"/>
    <w:rsid w:val="5B24313F"/>
    <w:rsid w:val="5FDA624B"/>
    <w:rsid w:val="62C612C9"/>
    <w:rsid w:val="62E735F2"/>
    <w:rsid w:val="64EF4547"/>
    <w:rsid w:val="713772AD"/>
    <w:rsid w:val="73245C89"/>
    <w:rsid w:val="759E7895"/>
    <w:rsid w:val="77CC7151"/>
    <w:rsid w:val="7A7B6154"/>
    <w:rsid w:val="7CBD1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1320</Words>
  <Characters>1587</Characters>
  <Lines>0</Lines>
  <Paragraphs>0</Paragraphs>
  <TotalTime>1</TotalTime>
  <ScaleCrop>false</ScaleCrop>
  <LinksUpToDate>false</LinksUpToDate>
  <CharactersWithSpaces>1595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2022-01-13T03:46:00Z</dcterms:created>
  <dc:creator>lenovo</dc:creator>
  <cp:lastModifiedBy>  봉숭아 ル U  ° </cp:lastModifiedBy>
  <cp:lastPrinted>2022-03-08T06:27:00Z</cp:lastPrinted>
  <dcterms:modified xsi:type="dcterms:W3CDTF">2025-05-16T06:43:53Z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6872EEF7ADCD4A8AA63289C5B554686A_13</vt:lpwstr>
  </property>
  <property fmtid="{D5CDD505-2E9C-101B-9397-08002B2CF9AE}" pid="4" name="KSOTemplateDocerSaveRecord">
    <vt:lpwstr>eyJoZGlkIjoiZWJkYzExMzk4YjE0ZmUyYmI2YTlmNjBmNjk5ZTNmYzQiLCJ1c2VySWQiOiIzMjc3MzAwNDUifQ==</vt:lpwstr>
  </property>
</Properties>
</file>