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EA3A0">
      <w:pPr>
        <w:jc w:val="center"/>
        <w:rPr>
          <w:rFonts w:ascii="黑体" w:eastAsia="黑体"/>
          <w:sz w:val="36"/>
          <w:szCs w:val="36"/>
        </w:rPr>
      </w:pPr>
      <w:r>
        <w:rPr>
          <w:rFonts w:hint="eastAsia" w:ascii="黑体" w:hAnsi="Calibri" w:eastAsia="黑体"/>
          <w:sz w:val="36"/>
          <w:szCs w:val="36"/>
        </w:rPr>
        <w:t>行政处罚案件信息公开表</w:t>
      </w:r>
    </w:p>
    <w:tbl>
      <w:tblPr>
        <w:tblStyle w:val="6"/>
        <w:tblpPr w:leftFromText="180" w:rightFromText="180" w:vertAnchor="text" w:horzAnchor="page" w:tblpXSpec="center" w:tblpY="309"/>
        <w:tblOverlap w:val="never"/>
        <w:tblW w:w="15984"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59"/>
        <w:gridCol w:w="975"/>
        <w:gridCol w:w="879"/>
        <w:gridCol w:w="1200"/>
        <w:gridCol w:w="1173"/>
        <w:gridCol w:w="1119"/>
        <w:gridCol w:w="5166"/>
        <w:gridCol w:w="1525"/>
        <w:gridCol w:w="2354"/>
        <w:gridCol w:w="1134"/>
      </w:tblGrid>
      <w:tr w14:paraId="47E41D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73" w:hRule="atLeast"/>
        </w:trPr>
        <w:tc>
          <w:tcPr>
            <w:tcW w:w="459" w:type="dxa"/>
            <w:vAlign w:val="center"/>
          </w:tcPr>
          <w:p w14:paraId="40098C40">
            <w:pPr>
              <w:spacing w:line="280" w:lineRule="exact"/>
              <w:jc w:val="center"/>
              <w:rPr>
                <w:rFonts w:ascii="黑体" w:hAnsi="黑体" w:eastAsia="黑体"/>
                <w:spacing w:val="-8"/>
                <w:sz w:val="28"/>
                <w:szCs w:val="28"/>
              </w:rPr>
            </w:pPr>
            <w:r>
              <w:rPr>
                <w:rFonts w:hint="eastAsia" w:ascii="黑体" w:hAnsi="黑体" w:eastAsia="黑体"/>
                <w:spacing w:val="-8"/>
                <w:sz w:val="28"/>
                <w:szCs w:val="28"/>
              </w:rPr>
              <w:t>序</w:t>
            </w:r>
          </w:p>
          <w:p w14:paraId="423E4D3C">
            <w:pPr>
              <w:spacing w:line="280" w:lineRule="exact"/>
              <w:jc w:val="center"/>
              <w:rPr>
                <w:rFonts w:ascii="黑体" w:hAnsi="黑体" w:eastAsia="黑体"/>
                <w:spacing w:val="-8"/>
                <w:sz w:val="28"/>
                <w:szCs w:val="28"/>
              </w:rPr>
            </w:pPr>
            <w:r>
              <w:rPr>
                <w:rFonts w:hint="eastAsia" w:ascii="黑体" w:hAnsi="黑体" w:eastAsia="黑体"/>
                <w:spacing w:val="-8"/>
                <w:sz w:val="28"/>
                <w:szCs w:val="28"/>
              </w:rPr>
              <w:t>号</w:t>
            </w:r>
          </w:p>
        </w:tc>
        <w:tc>
          <w:tcPr>
            <w:tcW w:w="975" w:type="dxa"/>
            <w:vAlign w:val="center"/>
          </w:tcPr>
          <w:p w14:paraId="7A87FA7E">
            <w:pPr>
              <w:spacing w:line="280" w:lineRule="exact"/>
              <w:jc w:val="center"/>
              <w:rPr>
                <w:rFonts w:ascii="黑体" w:hAnsi="黑体" w:eastAsia="黑体"/>
                <w:spacing w:val="-8"/>
                <w:sz w:val="28"/>
                <w:szCs w:val="28"/>
              </w:rPr>
            </w:pPr>
            <w:r>
              <w:rPr>
                <w:rFonts w:hint="eastAsia" w:ascii="黑体" w:hAnsi="黑体" w:eastAsia="黑体"/>
                <w:spacing w:val="-8"/>
                <w:sz w:val="28"/>
                <w:szCs w:val="28"/>
              </w:rPr>
              <w:t>行政处罚决定</w:t>
            </w:r>
          </w:p>
          <w:p w14:paraId="2514053B">
            <w:pPr>
              <w:spacing w:line="280" w:lineRule="exact"/>
              <w:jc w:val="center"/>
              <w:rPr>
                <w:rFonts w:ascii="黑体" w:hAnsi="黑体" w:eastAsia="黑体"/>
                <w:spacing w:val="-8"/>
                <w:sz w:val="28"/>
                <w:szCs w:val="28"/>
              </w:rPr>
            </w:pPr>
            <w:r>
              <w:rPr>
                <w:rFonts w:hint="eastAsia" w:ascii="黑体" w:hAnsi="黑体" w:eastAsia="黑体"/>
                <w:spacing w:val="-8"/>
                <w:sz w:val="28"/>
                <w:szCs w:val="28"/>
              </w:rPr>
              <w:t>文书号</w:t>
            </w:r>
          </w:p>
        </w:tc>
        <w:tc>
          <w:tcPr>
            <w:tcW w:w="879" w:type="dxa"/>
            <w:vAlign w:val="center"/>
          </w:tcPr>
          <w:p w14:paraId="109375BB">
            <w:pPr>
              <w:spacing w:line="280" w:lineRule="exact"/>
              <w:jc w:val="center"/>
              <w:rPr>
                <w:rFonts w:ascii="黑体" w:hAnsi="黑体" w:eastAsia="黑体"/>
                <w:spacing w:val="-8"/>
                <w:sz w:val="28"/>
                <w:szCs w:val="28"/>
              </w:rPr>
            </w:pPr>
            <w:r>
              <w:rPr>
                <w:rFonts w:hint="eastAsia" w:ascii="黑体" w:hAnsi="黑体" w:eastAsia="黑体"/>
                <w:spacing w:val="-8"/>
                <w:sz w:val="28"/>
                <w:szCs w:val="28"/>
              </w:rPr>
              <w:t>案件名称</w:t>
            </w:r>
          </w:p>
        </w:tc>
        <w:tc>
          <w:tcPr>
            <w:tcW w:w="1200" w:type="dxa"/>
            <w:vAlign w:val="center"/>
          </w:tcPr>
          <w:p w14:paraId="49A54350">
            <w:pPr>
              <w:spacing w:line="280" w:lineRule="exact"/>
              <w:jc w:val="center"/>
              <w:rPr>
                <w:rFonts w:ascii="黑体" w:hAnsi="黑体" w:eastAsia="黑体"/>
                <w:spacing w:val="-8"/>
                <w:sz w:val="28"/>
                <w:szCs w:val="28"/>
              </w:rPr>
            </w:pPr>
            <w:r>
              <w:rPr>
                <w:rFonts w:hint="eastAsia" w:ascii="黑体" w:hAnsi="黑体" w:eastAsia="黑体"/>
                <w:spacing w:val="-8"/>
                <w:sz w:val="28"/>
                <w:szCs w:val="28"/>
              </w:rPr>
              <w:t>违法企业名称或违法自然人姓名</w:t>
            </w:r>
          </w:p>
        </w:tc>
        <w:tc>
          <w:tcPr>
            <w:tcW w:w="1173" w:type="dxa"/>
            <w:vAlign w:val="center"/>
          </w:tcPr>
          <w:p w14:paraId="7A5F4E56">
            <w:pPr>
              <w:spacing w:line="280" w:lineRule="exact"/>
              <w:jc w:val="center"/>
              <w:rPr>
                <w:rFonts w:ascii="黑体" w:hAnsi="黑体" w:eastAsia="黑体"/>
                <w:spacing w:val="-8"/>
                <w:sz w:val="28"/>
                <w:szCs w:val="28"/>
              </w:rPr>
            </w:pPr>
            <w:r>
              <w:rPr>
                <w:rFonts w:hint="eastAsia" w:ascii="黑体" w:hAnsi="黑体" w:eastAsia="黑体"/>
                <w:spacing w:val="-8"/>
                <w:sz w:val="28"/>
                <w:szCs w:val="28"/>
              </w:rPr>
              <w:t>违法企业</w:t>
            </w:r>
          </w:p>
          <w:p w14:paraId="3C889D4E">
            <w:pPr>
              <w:spacing w:line="280" w:lineRule="exact"/>
              <w:jc w:val="center"/>
              <w:rPr>
                <w:rFonts w:ascii="黑体" w:hAnsi="黑体" w:eastAsia="黑体"/>
                <w:spacing w:val="-8"/>
                <w:sz w:val="28"/>
                <w:szCs w:val="28"/>
              </w:rPr>
            </w:pPr>
            <w:r>
              <w:rPr>
                <w:rFonts w:hint="eastAsia" w:ascii="黑体" w:hAnsi="黑体" w:eastAsia="黑体"/>
                <w:spacing w:val="-8"/>
                <w:sz w:val="28"/>
                <w:szCs w:val="28"/>
              </w:rPr>
              <w:t>统一</w:t>
            </w:r>
            <w:r>
              <w:rPr>
                <w:rFonts w:hint="eastAsia" w:ascii="黑体" w:hAnsi="黑体" w:eastAsia="黑体"/>
                <w:spacing w:val="-8"/>
                <w:sz w:val="28"/>
                <w:szCs w:val="28"/>
                <w:lang w:val="en-US" w:eastAsia="zh-CN"/>
              </w:rPr>
              <w:t>社会</w:t>
            </w:r>
            <w:bookmarkStart w:id="0" w:name="_GoBack"/>
            <w:bookmarkEnd w:id="0"/>
            <w:r>
              <w:rPr>
                <w:rFonts w:hint="eastAsia" w:ascii="黑体" w:hAnsi="黑体" w:eastAsia="黑体"/>
                <w:spacing w:val="-8"/>
                <w:sz w:val="28"/>
                <w:szCs w:val="28"/>
              </w:rPr>
              <w:t>信用代码</w:t>
            </w:r>
          </w:p>
        </w:tc>
        <w:tc>
          <w:tcPr>
            <w:tcW w:w="1119" w:type="dxa"/>
            <w:vAlign w:val="center"/>
          </w:tcPr>
          <w:p w14:paraId="33E75A78">
            <w:pPr>
              <w:spacing w:line="280" w:lineRule="exact"/>
              <w:jc w:val="center"/>
              <w:rPr>
                <w:rFonts w:ascii="黑体" w:hAnsi="黑体" w:eastAsia="黑体"/>
                <w:spacing w:val="-8"/>
                <w:sz w:val="28"/>
                <w:szCs w:val="28"/>
              </w:rPr>
            </w:pPr>
            <w:r>
              <w:rPr>
                <w:rFonts w:hint="eastAsia" w:ascii="黑体" w:hAnsi="黑体" w:eastAsia="黑体"/>
                <w:spacing w:val="-8"/>
                <w:sz w:val="28"/>
                <w:szCs w:val="28"/>
              </w:rPr>
              <w:t>法定代表人姓名</w:t>
            </w:r>
          </w:p>
        </w:tc>
        <w:tc>
          <w:tcPr>
            <w:tcW w:w="5166" w:type="dxa"/>
            <w:vAlign w:val="center"/>
          </w:tcPr>
          <w:p w14:paraId="4CCF7715">
            <w:pPr>
              <w:spacing w:line="280" w:lineRule="exact"/>
              <w:jc w:val="center"/>
              <w:rPr>
                <w:rFonts w:ascii="黑体" w:hAnsi="黑体" w:eastAsia="黑体"/>
                <w:spacing w:val="-8"/>
                <w:sz w:val="28"/>
                <w:szCs w:val="28"/>
              </w:rPr>
            </w:pPr>
            <w:r>
              <w:rPr>
                <w:rFonts w:hint="eastAsia" w:ascii="黑体" w:hAnsi="黑体" w:eastAsia="黑体"/>
                <w:spacing w:val="-8"/>
                <w:sz w:val="28"/>
                <w:szCs w:val="28"/>
              </w:rPr>
              <w:t>主要违法事实</w:t>
            </w:r>
          </w:p>
        </w:tc>
        <w:tc>
          <w:tcPr>
            <w:tcW w:w="1525" w:type="dxa"/>
            <w:vAlign w:val="center"/>
          </w:tcPr>
          <w:p w14:paraId="33DAD348">
            <w:pPr>
              <w:spacing w:line="280" w:lineRule="exact"/>
              <w:jc w:val="center"/>
              <w:rPr>
                <w:rFonts w:ascii="黑体" w:hAnsi="黑体" w:eastAsia="黑体"/>
                <w:spacing w:val="-8"/>
                <w:sz w:val="28"/>
                <w:szCs w:val="28"/>
              </w:rPr>
            </w:pPr>
            <w:r>
              <w:rPr>
                <w:rFonts w:hint="eastAsia" w:ascii="黑体" w:hAnsi="黑体" w:eastAsia="黑体"/>
                <w:spacing w:val="-8"/>
                <w:sz w:val="28"/>
                <w:szCs w:val="28"/>
              </w:rPr>
              <w:t>行政处罚的种类和依据</w:t>
            </w:r>
          </w:p>
        </w:tc>
        <w:tc>
          <w:tcPr>
            <w:tcW w:w="2354" w:type="dxa"/>
            <w:vAlign w:val="center"/>
          </w:tcPr>
          <w:p w14:paraId="57481828">
            <w:pPr>
              <w:spacing w:line="280" w:lineRule="exact"/>
              <w:jc w:val="center"/>
              <w:rPr>
                <w:rFonts w:ascii="黑体" w:hAnsi="黑体" w:eastAsia="黑体"/>
                <w:spacing w:val="-8"/>
                <w:sz w:val="28"/>
                <w:szCs w:val="28"/>
              </w:rPr>
            </w:pPr>
            <w:r>
              <w:rPr>
                <w:rFonts w:hint="eastAsia" w:ascii="黑体" w:hAnsi="黑体" w:eastAsia="黑体"/>
                <w:spacing w:val="-8"/>
                <w:sz w:val="28"/>
                <w:szCs w:val="28"/>
              </w:rPr>
              <w:t>行政处罚的履行方式和期限</w:t>
            </w:r>
          </w:p>
        </w:tc>
        <w:tc>
          <w:tcPr>
            <w:tcW w:w="1134" w:type="dxa"/>
            <w:vAlign w:val="center"/>
          </w:tcPr>
          <w:p w14:paraId="12B02074">
            <w:pPr>
              <w:spacing w:line="280" w:lineRule="exact"/>
              <w:jc w:val="center"/>
              <w:rPr>
                <w:rFonts w:ascii="黑体" w:hAnsi="黑体" w:eastAsia="黑体"/>
                <w:spacing w:val="-8"/>
                <w:sz w:val="28"/>
                <w:szCs w:val="28"/>
              </w:rPr>
            </w:pPr>
            <w:r>
              <w:rPr>
                <w:rFonts w:hint="eastAsia" w:ascii="黑体" w:hAnsi="黑体" w:eastAsia="黑体"/>
                <w:spacing w:val="-8"/>
                <w:sz w:val="28"/>
                <w:szCs w:val="28"/>
              </w:rPr>
              <w:t>作出处罚</w:t>
            </w:r>
          </w:p>
          <w:p w14:paraId="61FBA2B4">
            <w:pPr>
              <w:spacing w:line="280" w:lineRule="exact"/>
              <w:jc w:val="center"/>
              <w:rPr>
                <w:rFonts w:ascii="黑体" w:hAnsi="黑体" w:eastAsia="黑体"/>
                <w:spacing w:val="-8"/>
                <w:sz w:val="28"/>
                <w:szCs w:val="28"/>
              </w:rPr>
            </w:pPr>
            <w:r>
              <w:rPr>
                <w:rFonts w:hint="eastAsia" w:ascii="黑体" w:hAnsi="黑体" w:eastAsia="黑体"/>
                <w:spacing w:val="-8"/>
                <w:sz w:val="28"/>
                <w:szCs w:val="28"/>
              </w:rPr>
              <w:t>的日期</w:t>
            </w:r>
          </w:p>
        </w:tc>
      </w:tr>
      <w:tr w14:paraId="04E46E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5" w:hRule="atLeast"/>
        </w:trPr>
        <w:tc>
          <w:tcPr>
            <w:tcW w:w="459" w:type="dxa"/>
            <w:vAlign w:val="center"/>
          </w:tcPr>
          <w:p w14:paraId="33DAF1E7">
            <w:pPr>
              <w:jc w:val="center"/>
              <w:rPr>
                <w:rFonts w:ascii="仿宋_GB2312" w:hAnsi="Calibri" w:eastAsia="仿宋_GB2312"/>
                <w:bCs/>
                <w:szCs w:val="21"/>
              </w:rPr>
            </w:pPr>
            <w:r>
              <w:rPr>
                <w:rFonts w:hint="eastAsia" w:ascii="仿宋_GB2312" w:hAnsi="Calibri" w:eastAsia="仿宋_GB2312"/>
                <w:bCs/>
                <w:szCs w:val="21"/>
              </w:rPr>
              <w:t>1</w:t>
            </w:r>
          </w:p>
        </w:tc>
        <w:tc>
          <w:tcPr>
            <w:tcW w:w="975" w:type="dxa"/>
            <w:vAlign w:val="center"/>
          </w:tcPr>
          <w:p w14:paraId="78C4A565">
            <w:pPr>
              <w:jc w:val="center"/>
              <w:rPr>
                <w:rFonts w:ascii="仿宋_GB2312" w:hAnsi="仿宋_GB2312" w:eastAsia="仿宋_GB2312" w:cs="仿宋_GB2312"/>
                <w:sz w:val="24"/>
                <w:szCs w:val="24"/>
              </w:rPr>
            </w:pPr>
          </w:p>
          <w:p w14:paraId="4506F2C1">
            <w:pPr>
              <w:jc w:val="center"/>
              <w:rPr>
                <w:rFonts w:ascii="仿宋_GB2312" w:hAnsi="仿宋_GB2312" w:eastAsia="仿宋_GB2312" w:cs="仿宋_GB2312"/>
                <w:sz w:val="24"/>
                <w:szCs w:val="24"/>
              </w:rPr>
            </w:pPr>
          </w:p>
          <w:p w14:paraId="49B98E0E">
            <w:pPr>
              <w:jc w:val="center"/>
              <w:rPr>
                <w:rFonts w:ascii="仿宋_GB2312" w:hAnsi="仿宋_GB2312" w:eastAsia="仿宋_GB2312" w:cs="仿宋_GB2312"/>
                <w:sz w:val="24"/>
                <w:szCs w:val="24"/>
              </w:rPr>
            </w:pPr>
          </w:p>
          <w:p w14:paraId="49D83072">
            <w:pPr>
              <w:jc w:val="center"/>
              <w:rPr>
                <w:rFonts w:ascii="仿宋_GB2312" w:hAnsi="仿宋_GB2312" w:eastAsia="仿宋_GB2312" w:cs="仿宋_GB2312"/>
                <w:sz w:val="24"/>
                <w:szCs w:val="24"/>
              </w:rPr>
            </w:pPr>
          </w:p>
          <w:p w14:paraId="0F1849D9">
            <w:pPr>
              <w:topLinePunct/>
              <w:jc w:val="center"/>
              <w:rPr>
                <w:rFonts w:ascii="仿宋_GB2312" w:hAnsi="仿宋_GB2312" w:eastAsia="仿宋_GB2312" w:cs="仿宋_GB2312"/>
                <w:sz w:val="24"/>
                <w:szCs w:val="24"/>
              </w:rPr>
            </w:pPr>
          </w:p>
          <w:p w14:paraId="223B3A1E">
            <w:pPr>
              <w:topLinePunct/>
              <w:jc w:val="center"/>
              <w:rPr>
                <w:rFonts w:ascii="仿宋_GB2312" w:hAnsi="仿宋_GB2312" w:eastAsia="仿宋_GB2312" w:cs="仿宋_GB2312"/>
                <w:sz w:val="24"/>
                <w:szCs w:val="24"/>
              </w:rPr>
            </w:pPr>
            <w:r>
              <w:rPr>
                <w:rFonts w:ascii="仿宋_GB2312" w:hAnsi="仿宋_GB2312" w:eastAsia="仿宋_GB2312" w:cs="仿宋_GB2312"/>
                <w:sz w:val="24"/>
                <w:szCs w:val="24"/>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20802600</wp:posOffset>
                      </wp:positionV>
                      <wp:extent cx="5761990" cy="1270"/>
                      <wp:effectExtent l="9525" t="9525" r="19685" b="12065"/>
                      <wp:wrapNone/>
                      <wp:docPr id="10" name="直接箭头连接符 10"/>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19050" cap="sq"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2pt;margin-top:1638pt;height:0.1pt;width:453.7pt;z-index:251659264;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LXiia2gAAAAsBAAAPAAAAAAAAAAEAIAAAACIAAABk&#10;cnMvZG93bnJldi54bWxQSwECFAAUAAAACACHTuJA5sQT9gQCAAD+AwAADgAAAAAAAAABACAAAAAp&#10;AQAAZHJzL2Uyb0RvYy54bWxQSwUGAAAAAAYABgBZAQAAnwUAAAAA&#10;">
                      <v:fill on="f" focussize="0,0"/>
                      <v:stroke weight="1.5pt" color="#000000" joinstyle="round" endcap="square"/>
                      <v:imagedata o:title=""/>
                      <o:lock v:ext="edit" aspectratio="f"/>
                    </v:shape>
                  </w:pict>
                </mc:Fallback>
              </mc:AlternateContent>
            </w:r>
            <w:r>
              <w:rPr>
                <w:rFonts w:hint="eastAsia" w:ascii="仿宋_GB2312" w:hAnsi="仿宋_GB2312" w:eastAsia="仿宋_GB2312" w:cs="仿宋_GB2312"/>
                <w:sz w:val="24"/>
                <w:szCs w:val="24"/>
              </w:rPr>
              <w:t>西市监处罚〔2022〕0420号</w:t>
            </w:r>
          </w:p>
          <w:p w14:paraId="71721A5D">
            <w:pPr>
              <w:jc w:val="center"/>
              <w:rPr>
                <w:rFonts w:ascii="仿宋_GB2312" w:hAnsi="仿宋_GB2312" w:eastAsia="仿宋_GB2312" w:cs="仿宋_GB2312"/>
                <w:sz w:val="24"/>
                <w:szCs w:val="24"/>
              </w:rPr>
            </w:pPr>
          </w:p>
        </w:tc>
        <w:tc>
          <w:tcPr>
            <w:tcW w:w="879" w:type="dxa"/>
            <w:vAlign w:val="center"/>
          </w:tcPr>
          <w:p w14:paraId="789D6250">
            <w:pPr>
              <w:spacing w:line="500" w:lineRule="exact"/>
              <w:jc w:val="center"/>
              <w:rPr>
                <w:rFonts w:ascii="仿宋_GB2312" w:eastAsia="仿宋_GB2312"/>
                <w:sz w:val="21"/>
                <w:szCs w:val="21"/>
              </w:rPr>
            </w:pPr>
            <w:r>
              <w:rPr>
                <w:rFonts w:hint="eastAsia" w:ascii="仿宋_GB2312" w:eastAsia="仿宋_GB2312"/>
                <w:sz w:val="21"/>
                <w:szCs w:val="21"/>
              </w:rPr>
              <w:t>陕西致生源健康咨询管理有限公司不正当竞争案</w:t>
            </w:r>
          </w:p>
        </w:tc>
        <w:tc>
          <w:tcPr>
            <w:tcW w:w="1200" w:type="dxa"/>
            <w:vAlign w:val="center"/>
          </w:tcPr>
          <w:p w14:paraId="1B483EF5">
            <w:pPr>
              <w:spacing w:line="500" w:lineRule="exact"/>
              <w:jc w:val="center"/>
              <w:rPr>
                <w:rFonts w:ascii="仿宋_GB2312" w:hAnsi="仿宋_GB2312" w:eastAsia="仿宋_GB2312" w:cs="仿宋_GB2312"/>
                <w:sz w:val="24"/>
                <w:szCs w:val="24"/>
              </w:rPr>
            </w:pPr>
            <w:r>
              <w:rPr>
                <w:rFonts w:hint="eastAsia" w:ascii="仿宋_GB2312" w:eastAsia="仿宋_GB2312"/>
                <w:sz w:val="21"/>
                <w:szCs w:val="21"/>
              </w:rPr>
              <w:t>陕西致生源健康咨询管理有限公司</w:t>
            </w:r>
          </w:p>
        </w:tc>
        <w:tc>
          <w:tcPr>
            <w:tcW w:w="1173" w:type="dxa"/>
            <w:vAlign w:val="center"/>
          </w:tcPr>
          <w:p w14:paraId="70203028">
            <w:pPr>
              <w:spacing w:line="500" w:lineRule="exact"/>
              <w:jc w:val="center"/>
              <w:rPr>
                <w:rFonts w:ascii="仿宋_GB2312" w:eastAsia="仿宋_GB2312"/>
                <w:sz w:val="21"/>
                <w:szCs w:val="21"/>
              </w:rPr>
            </w:pPr>
            <w:r>
              <w:rPr>
                <w:rFonts w:hint="eastAsia" w:ascii="仿宋_GB2312" w:eastAsia="仿宋_GB2312"/>
                <w:sz w:val="21"/>
                <w:szCs w:val="21"/>
              </w:rPr>
              <w:t>91610131MA7CFPMG1L</w:t>
            </w:r>
          </w:p>
        </w:tc>
        <w:tc>
          <w:tcPr>
            <w:tcW w:w="1119" w:type="dxa"/>
            <w:vAlign w:val="center"/>
          </w:tcPr>
          <w:p w14:paraId="2125C7B1">
            <w:pPr>
              <w:spacing w:line="500" w:lineRule="exact"/>
              <w:jc w:val="center"/>
              <w:rPr>
                <w:rFonts w:ascii="仿宋_GB2312" w:eastAsia="仿宋_GB2312"/>
                <w:sz w:val="21"/>
                <w:szCs w:val="21"/>
              </w:rPr>
            </w:pPr>
            <w:r>
              <w:rPr>
                <w:rFonts w:hint="eastAsia" w:ascii="仿宋_GB2312" w:eastAsia="仿宋_GB2312"/>
                <w:sz w:val="21"/>
                <w:szCs w:val="21"/>
              </w:rPr>
              <w:t xml:space="preserve">樊显坤    </w:t>
            </w:r>
          </w:p>
        </w:tc>
        <w:tc>
          <w:tcPr>
            <w:tcW w:w="5166" w:type="dxa"/>
            <w:vAlign w:val="center"/>
          </w:tcPr>
          <w:p w14:paraId="77FC0768">
            <w:pPr>
              <w:spacing w:line="280" w:lineRule="exact"/>
              <w:jc w:val="lef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经查，当事人主要销售的产品有肽极固体饮料、调制驼乳粉和富硒益生菌配方驼乳粉。肽极固体饮料的生产企业为陕西莫普森医药生物科技有限公司。当事人取得了肽极固体饮料的代理授权，授权期限为2022年04月01日—2023年03月31日。2022年07月27日，我队向陕西省咸阳市市场监督管理局送达《协助调查函》（西市监协查〔2022〕06-0009号），请求该单位协助调查肽极固体饮料产品质量和广告宣传是否合法。根据《咸阳市市场监督管理局关于西市监协查〔2022〕06-0009号调查情况的复函》，肽极固体饮料在产品质量和广告宣传未发现违法行为。</w:t>
            </w:r>
          </w:p>
          <w:p w14:paraId="29A87DCE">
            <w:pPr>
              <w:spacing w:line="280" w:lineRule="exact"/>
              <w:jc w:val="lef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调制驼乳粉和富硒益生菌配方驼乳粉的生产企业为新疆花麒特乳奶业有限公司。调制驼乳粉的外包装正上方醒目位置上印制有“西安交通大学生命科学与技术学院”，富硒益生菌配方驼乳粉在外包装上印制的研发方为西安交通大学细胞营养与生命健康研究院。我队于2022年06月30日向西安交通大学邮寄送达《关于案件办理协助调查的函》，请西安交通大学协助我队调查上述产品在外包装印制与西安交通大学相关字样是否属实。2022年07月19日，我队接到西安交通大学校长办公室《关于案件办理协助调查的函》的回函，该函说明上述产品在外包装印制与西安交通大学相关字样未经西安交通大学许可，也未参与上述产品的研发。当事人向我队提供了上述两款产品的进货来源及销售企业提供的其与西安交通大学合作证明。我队随后将此违法线索移送至哈密市市场监督管理局。</w:t>
            </w:r>
          </w:p>
          <w:p w14:paraId="6130C756">
            <w:pPr>
              <w:spacing w:line="280" w:lineRule="exact"/>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又当事人2021年11月10日公司注册成立后，在日常经营活动中为提升公司形象，在经营场所正门墙壁醒目位置处标有“致生源让身体更健康”和</w:t>
            </w:r>
          </w:p>
          <w:p w14:paraId="67DBF59D">
            <w:pPr>
              <w:spacing w:line="600" w:lineRule="exact"/>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w:t>
            </w:r>
            <w:r>
              <w:rPr>
                <w:rFonts w:hint="eastAsia" w:ascii="仿宋_GB2312" w:hAnsi="仿宋_GB2312" w:eastAsia="仿宋_GB2312" w:cs="仿宋_GB2312"/>
                <w:color w:val="000000"/>
                <w:sz w:val="21"/>
                <w:szCs w:val="21"/>
              </w:rPr>
              <w:drawing>
                <wp:inline distT="0" distB="0" distL="114300" distR="114300">
                  <wp:extent cx="2200275" cy="238125"/>
                  <wp:effectExtent l="0" t="0" r="9525"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4"/>
                          <a:stretch>
                            <a:fillRect/>
                          </a:stretch>
                        </pic:blipFill>
                        <pic:spPr>
                          <a:xfrm>
                            <a:off x="0" y="0"/>
                            <a:ext cx="2200275" cy="238125"/>
                          </a:xfrm>
                          <a:prstGeom prst="rect">
                            <a:avLst/>
                          </a:prstGeom>
                          <a:noFill/>
                          <a:ln>
                            <a:noFill/>
                          </a:ln>
                        </pic:spPr>
                      </pic:pic>
                    </a:graphicData>
                  </a:graphic>
                </wp:inline>
              </w:drawing>
            </w:r>
            <w:r>
              <w:rPr>
                <w:rFonts w:hint="eastAsia" w:ascii="仿宋_GB2312" w:hAnsi="仿宋_GB2312" w:eastAsia="仿宋_GB2312" w:cs="仿宋_GB2312"/>
                <w:color w:val="000000"/>
                <w:sz w:val="21"/>
                <w:szCs w:val="21"/>
              </w:rPr>
              <w:t>”字样，以及西安交通大学校徽“</w:t>
            </w:r>
            <w:r>
              <w:rPr>
                <w:rFonts w:hint="eastAsia" w:ascii="仿宋_GB2312" w:hAnsi="仿宋_GB2312" w:eastAsia="仿宋_GB2312" w:cs="仿宋_GB2312"/>
                <w:color w:val="000000"/>
                <w:sz w:val="21"/>
                <w:szCs w:val="21"/>
              </w:rPr>
              <w:drawing>
                <wp:inline distT="0" distB="0" distL="114300" distR="114300">
                  <wp:extent cx="971550" cy="295275"/>
                  <wp:effectExtent l="0" t="0" r="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5"/>
                          <a:stretch>
                            <a:fillRect/>
                          </a:stretch>
                        </pic:blipFill>
                        <pic:spPr>
                          <a:xfrm>
                            <a:off x="0" y="0"/>
                            <a:ext cx="971550" cy="295275"/>
                          </a:xfrm>
                          <a:prstGeom prst="rect">
                            <a:avLst/>
                          </a:prstGeom>
                          <a:noFill/>
                          <a:ln>
                            <a:noFill/>
                          </a:ln>
                        </pic:spPr>
                      </pic:pic>
                    </a:graphicData>
                  </a:graphic>
                </wp:inline>
              </w:drawing>
            </w:r>
            <w:r>
              <w:rPr>
                <w:rFonts w:hint="eastAsia" w:ascii="仿宋_GB2312" w:hAnsi="仿宋_GB2312" w:eastAsia="仿宋_GB2312" w:cs="仿宋_GB2312"/>
                <w:color w:val="000000"/>
                <w:sz w:val="21"/>
                <w:szCs w:val="21"/>
              </w:rPr>
              <w:t>”。经函询西安交</w:t>
            </w:r>
          </w:p>
          <w:p w14:paraId="5CA835BD">
            <w:pPr>
              <w:spacing w:line="280" w:lineRule="exact"/>
              <w:jc w:val="lef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通大学，该校称并未授权陕西致生源健康咨询管理有限公司使用该校名称和校徽标志。</w:t>
            </w:r>
          </w:p>
          <w:p w14:paraId="7D95107F">
            <w:pPr>
              <w:spacing w:line="500" w:lineRule="exact"/>
              <w:jc w:val="left"/>
              <w:rPr>
                <w:rFonts w:ascii="仿宋_GB2312" w:hAnsi="仿宋_GB2312" w:eastAsia="仿宋_GB2312" w:cs="仿宋_GB2312"/>
                <w:color w:val="000000"/>
                <w:sz w:val="18"/>
                <w:szCs w:val="18"/>
              </w:rPr>
            </w:pPr>
          </w:p>
        </w:tc>
        <w:tc>
          <w:tcPr>
            <w:tcW w:w="1525" w:type="dxa"/>
            <w:vAlign w:val="center"/>
          </w:tcPr>
          <w:p w14:paraId="165B6CE4">
            <w:pPr>
              <w:pStyle w:val="5"/>
              <w:shd w:val="clear" w:color="auto" w:fill="FFFFFF"/>
              <w:spacing w:before="0" w:beforeAutospacing="0" w:after="0" w:afterAutospacing="0" w:line="0" w:lineRule="atLeast"/>
              <w:jc w:val="both"/>
              <w:rPr>
                <w:rFonts w:ascii="仿宋_GB2312" w:hAnsi="仿宋_GB2312" w:eastAsia="仿宋_GB2312" w:cs="仿宋_GB2312"/>
                <w:sz w:val="18"/>
                <w:szCs w:val="18"/>
              </w:rPr>
            </w:pPr>
            <w:r>
              <w:rPr>
                <w:rFonts w:hint="eastAsia" w:ascii="仿宋_GB2312" w:hAnsi="仿宋_GB2312" w:eastAsia="仿宋_GB2312" w:cs="仿宋_GB2312"/>
              </w:rPr>
              <w:t>罚款人民币30000（叁万）元整。违反了《中华人民共和国反不正当竞争法》第六条第一款第二项规定。 依据依据《中华人民共和国反不正当竞争法》第十八条第一款之规定。</w:t>
            </w:r>
          </w:p>
        </w:tc>
        <w:tc>
          <w:tcPr>
            <w:tcW w:w="2354" w:type="dxa"/>
            <w:vAlign w:val="center"/>
          </w:tcPr>
          <w:p w14:paraId="1311740A">
            <w:pPr>
              <w:spacing w:line="0" w:lineRule="atLeas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2022年9月30日，我局向当事人送达了西市监处罚〔2022〕0420号《行政处罚决定书》，当事人应在收到本处罚决定书之日起十五日内缴纳罚款。到期不缴纳罚款的，依据《中华人民共和国行政处罚法》第七十二条的规定，本局（队）将每日按罚款数额的百分之三加处罚款，并依法申请人民法院强制执行。</w:t>
            </w:r>
          </w:p>
        </w:tc>
        <w:tc>
          <w:tcPr>
            <w:tcW w:w="1134" w:type="dxa"/>
            <w:vAlign w:val="center"/>
          </w:tcPr>
          <w:p w14:paraId="03E9A320">
            <w:pPr>
              <w:topLinePunct/>
              <w:jc w:val="center"/>
              <w:rPr>
                <w:rFonts w:ascii="仿宋_GB2312" w:hAnsi="Calibri" w:eastAsia="仿宋_GB2312"/>
                <w:szCs w:val="21"/>
              </w:rPr>
            </w:pPr>
            <w:r>
              <w:rPr>
                <w:rFonts w:hint="eastAsia" w:ascii="仿宋_GB2312" w:hAnsi="仿宋_GB2312" w:eastAsia="仿宋_GB2312" w:cs="仿宋_GB2312"/>
                <w:sz w:val="24"/>
                <w:szCs w:val="24"/>
              </w:rPr>
              <w:t>2022年9月30日</w:t>
            </w:r>
          </w:p>
        </w:tc>
      </w:tr>
    </w:tbl>
    <w:p w14:paraId="471B2A3F"/>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mZWE3OTVjMzE4ZGM1YzZjNmVkNjA3OGUxMDkzYjcifQ=="/>
  </w:docVars>
  <w:rsids>
    <w:rsidRoot w:val="00530589"/>
    <w:rsid w:val="000B680D"/>
    <w:rsid w:val="003532FE"/>
    <w:rsid w:val="004415DD"/>
    <w:rsid w:val="004977FD"/>
    <w:rsid w:val="00530589"/>
    <w:rsid w:val="005B66AC"/>
    <w:rsid w:val="00B16EB9"/>
    <w:rsid w:val="00BC2C1E"/>
    <w:rsid w:val="00C00B98"/>
    <w:rsid w:val="00DC519D"/>
    <w:rsid w:val="00E43078"/>
    <w:rsid w:val="00F06FBF"/>
    <w:rsid w:val="08C65096"/>
    <w:rsid w:val="0D904732"/>
    <w:rsid w:val="0DED62DF"/>
    <w:rsid w:val="140D4EF5"/>
    <w:rsid w:val="23C26BDB"/>
    <w:rsid w:val="28770B09"/>
    <w:rsid w:val="2B7D5675"/>
    <w:rsid w:val="35583148"/>
    <w:rsid w:val="487877F8"/>
    <w:rsid w:val="48CB55FA"/>
    <w:rsid w:val="4BFE3061"/>
    <w:rsid w:val="50D9685A"/>
    <w:rsid w:val="51067963"/>
    <w:rsid w:val="51112598"/>
    <w:rsid w:val="5A80010A"/>
    <w:rsid w:val="5B24313F"/>
    <w:rsid w:val="5FDA624B"/>
    <w:rsid w:val="62C612C9"/>
    <w:rsid w:val="62E735F2"/>
    <w:rsid w:val="64EF4547"/>
    <w:rsid w:val="6C2F17C6"/>
    <w:rsid w:val="713772AD"/>
    <w:rsid w:val="73245C89"/>
    <w:rsid w:val="759E7895"/>
    <w:rsid w:val="7A7B6154"/>
    <w:rsid w:val="7CBD1A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iPriority w:val="0"/>
    <w:rPr>
      <w:sz w:val="18"/>
      <w:szCs w:val="18"/>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uiPriority w:val="0"/>
    <w:rPr>
      <w:rFonts w:ascii="Times New Roman" w:hAnsi="Times New Roman" w:eastAsia="方正仿宋简体" w:cs="Times New Roman"/>
      <w:kern w:val="2"/>
      <w:sz w:val="18"/>
      <w:szCs w:val="18"/>
    </w:rPr>
  </w:style>
  <w:style w:type="character" w:customStyle="1" w:styleId="9">
    <w:name w:val="页脚 Char"/>
    <w:basedOn w:val="7"/>
    <w:link w:val="3"/>
    <w:qFormat/>
    <w:uiPriority w:val="0"/>
    <w:rPr>
      <w:rFonts w:ascii="Times New Roman" w:hAnsi="Times New Roman" w:eastAsia="方正仿宋简体" w:cs="Times New Roman"/>
      <w:kern w:val="2"/>
      <w:sz w:val="18"/>
      <w:szCs w:val="18"/>
    </w:rPr>
  </w:style>
  <w:style w:type="character" w:customStyle="1" w:styleId="10">
    <w:name w:val="批注框文本 Char"/>
    <w:basedOn w:val="7"/>
    <w:link w:val="2"/>
    <w:qFormat/>
    <w:uiPriority w:val="0"/>
    <w:rPr>
      <w:rFonts w:ascii="Times New Roman" w:hAnsi="Times New Roman" w:eastAsia="方正仿宋简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1056</Words>
  <Characters>1145</Characters>
  <Lines>8</Lines>
  <Paragraphs>2</Paragraphs>
  <TotalTime>6</TotalTime>
  <ScaleCrop>false</ScaleCrop>
  <LinksUpToDate>false</LinksUpToDate>
  <CharactersWithSpaces>1150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2022-09-29T07:35:00Z</dcterms:created>
  <dc:creator>lenovo</dc:creator>
  <cp:lastModifiedBy>  봉숭아 ル U  ° </cp:lastModifiedBy>
  <cp:lastPrinted>2022-03-08T06:27:00Z</cp:lastPrinted>
  <dcterms:modified xsi:type="dcterms:W3CDTF">2025-05-16T06:41:47Z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F926AD62C51C4A718B07F32EACEDEB8C_13</vt:lpwstr>
  </property>
  <property fmtid="{D5CDD505-2E9C-101B-9397-08002B2CF9AE}" pid="4" name="KSOTemplateDocerSaveRecord">
    <vt:lpwstr>eyJoZGlkIjoiZWJkYzExMzk4YjE0ZmUyYmI2YTlmNjBmNjk5ZTNmYzQiLCJ1c2VySWQiOiIzMjc3MzAwNDUifQ==</vt:lpwstr>
  </property>
</Properties>
</file>