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版本号：SXZHZC2025-CS19420250309001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司法审计服务采购项目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SXZHZC2025-CS194</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司法审计服务采购项目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SXZHZC2025-CS194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司法审计服务采购项目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西安市公安局雁塔分局司法审计服务采购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3、供应商资质：供应商具备省司法厅颁发的《司法鉴定许可证》（司法会计）</w:t>
      </w:r>
    </w:p>
    <w:p>
      <w:pPr>
        <w:pStyle w:val="null3"/>
      </w:pPr>
      <w:r>
        <w:rPr>
          <w:rFonts w:ascii="仿宋_GB2312" w:hAnsi="仿宋_GB2312" w:cs="仿宋_GB2312" w:eastAsia="仿宋_GB2312"/>
        </w:rPr>
        <w:t>4、项目负责人：项目负责人具有《司法鉴定人执业证》（司法会计）</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西安市公安局雁塔分局经办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18591898230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029-85241400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符合国家法律法规规定的合格标准、磋商文件、响应文件的要求。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西安市公安局雁塔分局司法审计服务采购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西安市公安局雁塔分局司法审计服务采购项目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标的名称：西安市公安局雁塔分局司法审计服务采购项目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single"/>
                <w:left w:val="single"/>
                <w:bottom w:val="single"/>
                <w:right w:val="single"/>
                <w:insideH w:val="single"/>
                <w:insideV w:val="singl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20"/>
                    <w:bottom w:type="dxa" w:w="0"/>
                    <w:right w:type="dxa" w:w="120"/>
                  </w:tcMar>
                </w:tcPr>
                <w:p>
                  <w:pPr>
                    <w:pStyle w:val="null3"/>
                    <w:jc w:val="center"/>
                  </w:pPr>
                  <w:r>
                    <w:rPr>
                      <w:rFonts w:ascii="仿宋_GB2312" w:hAnsi="仿宋_GB2312" w:cs="仿宋_GB2312" w:eastAsia="仿宋_GB2312"/>
                      <w:sz w:val="24"/>
                      <w:b/>
                    </w:rPr>
                    <w:t>技术参数与性能指标</w:t>
                  </w:r>
                </w:p>
              </w:tc>
            </w:tr>
            <w:tr>
              <w:tc>
                <w:tcPr>
                  <w:tcW w:type="dxa" w:w="1860"/>
                  <w:tcBorders>
                    <w:top w:val="none" w:color="000000" w:sz="4"/>
                    <w:left w:val="single" w:color="000000" w:sz="4"/>
                    <w:bottom w:val="single" w:color="000000" w:sz="4"/>
                    <w:right w:val="single" w:color="000000" w:sz="4"/>
                  </w:tcBorders>
                  <w:tcMar>
                    <w:top w:type="dxa" w:w="0"/>
                    <w:left w:type="dxa" w:w="120"/>
                    <w:bottom w:type="dxa" w:w="0"/>
                    <w:right w:type="dxa" w:w="120"/>
                  </w:tcMar>
                </w:tcPr>
                <w:p>
                  <w:pPr>
                    <w:pStyle w:val="null3"/>
                    <w:jc w:val="both"/>
                  </w:pPr>
                  <w:r>
                    <w:rPr>
                      <w:rFonts w:ascii="仿宋_GB2312" w:hAnsi="仿宋_GB2312" w:cs="仿宋_GB2312" w:eastAsia="仿宋_GB2312"/>
                      <w:sz w:val="24"/>
                      <w:b/>
                    </w:rPr>
                    <w:t>一、服务要求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、应本着“独立、科学、真实、守法”的工作原则。服务标准，要以国家行业相关规定为准，服务期内如发生违反法律、法规，招标要求及投标承诺的行为，按照国家相关法律、法规规定执行。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、拟投入工作的人员不得外聘，对所服务的每个具体的项目，均严格按照投标文件中拟定人员进行配备，所有拟定人员须固定，且相关人员须具有相应资格。</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、应严格遵守职业道德，执行行业制度以及投标文件中有关廉政的承诺，规范具体操作。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、对于涉及国家秘密、商业秘密的审计项目或者事项，入选的司法会计鉴定鉴定所审计人员参与审计时，应当严格保密管理。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、入选的司法会计鉴定机构所审计人员应当在审计项目完成后，将审计实施过程中所形成的全部纸质和电子资料，及时移交有关业务科室，不得将其参与的审计工作的相关结果用于与所审计事项无关的目的。</w:t>
                  </w:r>
                </w:p>
                <w:p>
                  <w:pPr>
                    <w:pStyle w:val="null3"/>
                    <w:jc w:val="both"/>
                  </w:pPr>
                  <w:r>
                    <w:rPr>
                      <w:rFonts w:ascii="仿宋_GB2312" w:hAnsi="仿宋_GB2312" w:cs="仿宋_GB2312" w:eastAsia="仿宋_GB2312"/>
                      <w:sz w:val="24"/>
                      <w:b/>
                    </w:rPr>
                    <w:t>二、商务及其他要求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、本项目采购预算为600000.00元，采购预算不竞争，审计案件数量不低于165件，供应商需在开标一览表中填报审计案件数量，针对供应商填报案件数量进行评审得分，具体评审详见，6.4.2评分标准。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、服务期限：自合同签订之日起至甲方确认供应商填报所有司法审计案件服务完毕止。（单个案件的服务期限最长不超过45天。)</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配备人员满足本次项目需求。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满足在业务范围内进行司法鉴定必需的仪器、设备。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采购包1：本项目采购预算为600000.00元，采购预算不竞争，审计案件数量不低于165件。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自合同签订之日起至甲方确认供应商填报所有司法审计案件服务完毕止。（单个案件的服务期限最长不超过45天。)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符合国家法律法规规定的合格标准、磋商文件、响应文件的要求。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所有案件审计完成并通过验收，全部纸质和电子资料，移交有关业务科室后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合同执行中发生争议的，当事人双方应协商解决，协商达不成一致时，有权向甲方住所地人民法院提起诉讼。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1.本项目投标报价为预算金额600000.00元，投标报价（含二次报价）不得修改，若修改投标报价视为无效响应文件。 2.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事业单位法人证书/民办非企业单位登记证书/非企业专业服务机构执业许可证，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供应商具备省司法厅颁发的《司法鉴定许可证》（司法会计）</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项目负责人具有《司法鉴定人执业证》（司法会计）</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中小企业声明函 报价表 技术和商务偏离表 响应文件封面 资格证明文件 业绩证明材料 残疾人福利性单位声明函 服务方案 标的清单 陕西省政府采购供应商拒绝政府采购领域商业贿赂承诺书 拟签订采购合同文本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开标一览表 中小企业声明函 报价表 技术和商务偏离表 响应文件封面 资格证明文件 业绩证明材料 残疾人福利性单位声明函 服务方案 标的清单 陕西省政府采购供应商拒绝政府采购领域商业贿赂承诺书 拟签订采购合同文本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服务方案 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开标一览表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审计实施方案</w:t>
            </w:r>
          </w:p>
        </w:tc>
        <w:tc>
          <w:tcPr>
            <w:tcW w:type="dxa" w:w="2492"/>
          </w:tcPr>
          <w:p>
            <w:pPr>
              <w:pStyle w:val="null3"/>
            </w:pPr>
            <w:r>
              <w:rPr>
                <w:rFonts w:ascii="仿宋_GB2312" w:hAnsi="仿宋_GB2312" w:cs="仿宋_GB2312" w:eastAsia="仿宋_GB2312"/>
              </w:rPr>
              <w:t>评审内容：①针对本项目制定规范化鉴定方案②结合本项目实际阐述具体工作内容及流程③重点、难点的分析并提供合理的解决方案④资料移交⑤针对本项目可能发生的各类紧急状况的应急预案 评审标准：以上内容切合本项目实际情况及实施要求，内容与要点相符、每个要点均有展开详细的阐述且能够适用于本项目的最高得20分；评审内容每缺一项扣4分；评审内容有一项内容缺陷（缺陷是指：内容描述过于简单、鉴定流程不符合国家相关标准及规范、条理不清晰、与项目内容不匹配、凭空编造、出现常识性错误、不可能实现的夸大情形、只有标题没有实质性内容或存在不适用项目实际情况的情形等）扣0.1-3.9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评审内容：①服务质量保障措施②服务进度保障措施③服务团队保障措施④组织机构安排措施 评审标准：以上内容切合本项目实际情况及实施要求，内容与要点相符、每个要点均有展开详细的阐述且能够适用于本项目的最高得12分；评审内容每缺一项扣3分；评审内容有一项内容缺陷（缺陷是指：内容描述过于简单、条理不清晰、与项目内容不匹配、凭空编造、出现常识性错误、不可能实现的夸大情形、只有标题没有实质性内容或存在不适用项目实际情况的情形等）扣0.1-2.9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评审内容：①拟派团队人员及岗位分工②人员证书。 评审标准：评审内容①切合本项目实际情况及实施要求，内容与要点相符、要点展开详细的阐述且能够适用于本项目的最高得3分；缺项不得分；评审内容内容缺陷（缺陷是指：内容描述过于简单、条理不清晰、与项目内容不匹配、凭空编造、出现常识性错误、不可能实现的夸大情形、只有标题没有实质性内容或存在不适用项目实际情况的情形等）扣0.1-2.9分。评审内容②项目团队（项目负责人除外）具备司法鉴定人执业证的人员等于3个得6分，在此基础上每增加1个加2分，最多加6分，不足3个不得分，本项满分12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评审内容：①服务质量承诺②服务期限承诺③人员到位承诺 评审标准：以上内容切合本项目实际情况及实施要求，内容与要点相符、每个要点均有展开详细的阐述且能够适用于本项目的最高得15分；评审内容每缺一项扣5分；评审内容有一项内容缺陷（缺陷是指：内容描述过于简单、条理不清晰、与项目内容不匹配、凭空编造、出现常识性错误、不可能实现的夸大情形、只有标题没有实质性内容或存在不适用项目实际情况的情形等）扣0.1-4.9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评审内容：①解决争议的措施②针对本项目的合理化建议 评审标准：以上内容切合本项目实际情况及实施要求，内容与要点相符、每个要点均有展开详细的阐述且能够适用于本项目的最高得6分；评审内容每缺一项扣3分；评审内容有一项内容缺陷（缺陷是指：内容描述过于简单、条理不清晰、与项目内容不匹配、凭空编造、出现常识性错误、不可能实现的夸大情形、只有标题没有实质性内容或存在不适用项目实际情况的情形等）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评审内容：①廉洁从业及保密制度②监督与举报制度③违规行为处理制度 评审标准：以上内容切合本项目实际情况及实施要求，内容与要点相符、均展开详细的阐述且能够适用于本项目的最高得9分；评审内容每缺一项扣3分；评审内容有一箱内容缺陷（缺陷是指：内容描述过于简单、条理不清晰、与项目内容不匹配、凭空编造、出现常识性错误、不可能实现的夸大情形、只有标题没有实质性内容或存在不适用项目实际情况的情形等）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案件数量</w:t>
            </w:r>
          </w:p>
        </w:tc>
        <w:tc>
          <w:tcPr>
            <w:tcW w:type="dxa" w:w="2492"/>
          </w:tcPr>
          <w:p>
            <w:pPr>
              <w:pStyle w:val="null3"/>
            </w:pPr>
            <w:r>
              <w:rPr>
                <w:rFonts w:ascii="仿宋_GB2312" w:hAnsi="仿宋_GB2312" w:cs="仿宋_GB2312" w:eastAsia="仿宋_GB2312"/>
              </w:rPr>
              <w:t>本项目案件数量至少为165个，增加案件数量按照以下标准得分：增加数量≥5个，得1分；增加数量≥10个，得3分；增加数量≥15个，得6分；增加数量≥20个得13分。（注：案件数量在开标一览表中体现，还需另附承诺书，未提供承诺书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提供供应商2022年1月至响应文件提交截止日类似项目业绩（以合同复印件为准），每提供一份业绩得2分，最高得10分。若提供虚假业绩，一经发现，按无效磋商处理。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业绩证明材料</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详见附件：拟签订采购合同文本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