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overflowPunct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跨部门综合监管事项清单填报表</w:t>
      </w:r>
    </w:p>
    <w:p>
      <w:pPr>
        <w:overflowPunct w:val="0"/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1360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1559"/>
        <w:gridCol w:w="1841"/>
        <w:gridCol w:w="1561"/>
        <w:gridCol w:w="1276"/>
        <w:gridCol w:w="1418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监管领域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监管部门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监管事项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设定依据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监管对象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事项类别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检查方式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牵头单位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配合单位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配合单位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overflowPunct w:val="0"/>
        <w:spacing w:line="400" w:lineRule="exact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填表说明：1.监管领域可依据《国民经济行业分类》中的行业大类填写也可结合监管实际填写；</w:t>
      </w:r>
    </w:p>
    <w:p>
      <w:pPr>
        <w:overflowPunct w:val="0"/>
        <w:spacing w:line="400" w:lineRule="exact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 xml:space="preserve">          2.监管事项应简要描述具体的检查内容；</w:t>
      </w:r>
    </w:p>
    <w:p>
      <w:pPr>
        <w:overflowPunct w:val="0"/>
        <w:spacing w:line="400" w:lineRule="exact"/>
        <w:ind w:firstLine="1050" w:firstLineChars="500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3.设定依据为法律法规的具体条文；</w:t>
      </w:r>
    </w:p>
    <w:p>
      <w:pPr>
        <w:overflowPunct w:val="0"/>
        <w:spacing w:line="400" w:lineRule="exact"/>
        <w:ind w:firstLine="1050" w:firstLineChars="500"/>
      </w:pPr>
      <w:r>
        <w:rPr>
          <w:rFonts w:hint="eastAsia" w:ascii="仿宋_GB2312" w:hAnsi="黑体" w:eastAsia="仿宋_GB2312"/>
          <w:szCs w:val="21"/>
        </w:rPr>
        <w:t>4.监管层级是指省市县。</w:t>
      </w:r>
      <w:bookmarkStart w:id="0" w:name="_GoBack"/>
      <w:bookmarkEnd w:id="0"/>
    </w:p>
    <w:sectPr>
      <w:pgSz w:w="16838" w:h="11906" w:orient="landscape"/>
      <w:pgMar w:top="1474" w:right="1985" w:bottom="1588" w:left="209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EB76"/>
    <w:rsid w:val="5FFE0C48"/>
    <w:rsid w:val="FDDFE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2024-12-25T23:40:00Z</dcterms:created>
  <dc:creator>kylin</dc:creator>
  <cp:lastModifiedBy>admin</cp:lastModifiedBy>
  <dcterms:modified xsi:type="dcterms:W3CDTF">2024-12-25T15:46:44Z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BED6E6161C09ECF1D4B66B67810B5729</vt:lpwstr>
  </property>
</Properties>
</file>