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1A57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75DAEB8C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216852BF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5DC90D2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429BB7C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690E6DD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5997C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622A72FF">
      <w:pPr>
        <w:pStyle w:val="2"/>
      </w:pPr>
      <w:r>
        <w:rPr>
          <w:rFonts w:hint="eastAsia"/>
          <w:lang w:eastAsia="zh-CN"/>
        </w:rPr>
        <w:t>二</w:t>
      </w:r>
      <w:r>
        <w:rPr>
          <w:rFonts w:hint="eastAsia"/>
        </w:rPr>
        <w:t>、食用农产品</w:t>
      </w:r>
    </w:p>
    <w:p w14:paraId="32BD500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EDE7BCB"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第250号《食品动物中禁止使用的药品及其他化合物清单》。</w:t>
      </w:r>
    </w:p>
    <w:p w14:paraId="7AAC827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47D8A80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除虫脲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三氯杀螨醇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41457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71C52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C13D0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57F63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2502A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2103</Words>
  <Characters>2426</Characters>
  <Lines>19</Lines>
  <Paragraphs>5</Paragraphs>
  <TotalTime>23</TotalTime>
  <ScaleCrop>false</ScaleCrop>
  <LinksUpToDate>false</LinksUpToDate>
  <CharactersWithSpaces>2486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2024-10-25T03:59:12Z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961BE9A45AB1440084B51677A460E5C4</vt:lpwstr>
  </property>
</Properties>
</file>