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雁塔区2023年度国土变更调查项目（自管区范围内）</w:t>
      </w:r>
    </w:p>
    <w:p>
      <w:pPr>
        <w:pStyle w:val="null3"/>
        <w:jc w:val="center"/>
        <w:outlineLvl w:val="2"/>
      </w:pPr>
      <w:r>
        <w:rPr>
          <w:sz w:val="28"/>
          <w:b/>
        </w:rPr>
        <w:t>采购项目编号：</w:t>
      </w:r>
      <w:r>
        <w:rPr>
          <w:sz w:val="28"/>
          <w:b/>
        </w:rPr>
        <w:t>SXLX24-01-034Z(F)</w:t>
      </w:r>
      <w:r>
        <w:br/>
      </w:r>
      <w:r>
        <w:br/>
      </w:r>
      <w:r>
        <w:br/>
      </w:r>
    </w:p>
    <w:p>
      <w:pPr>
        <w:pStyle w:val="null3"/>
        <w:jc w:val="center"/>
        <w:outlineLvl w:val="2"/>
      </w:pPr>
      <w:r>
        <w:rPr>
          <w:sz w:val="28"/>
          <w:b/>
        </w:rPr>
        <w:t>西安市自然资源和规划局雁塔分局</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2024年07月04日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陕西隆信项目管理有限公司</w:t>
      </w:r>
      <w:r>
        <w:rPr/>
        <w:t>（以下简称“代理机构”）受</w:t>
      </w:r>
      <w:r>
        <w:rPr/>
        <w:t>西安市自然资源和规划局雁塔分局</w:t>
      </w:r>
      <w:r>
        <w:rPr/>
        <w:t>委托，拟对</w:t>
      </w:r>
      <w:r>
        <w:rPr/>
        <w:t>雁塔区2023年度国土变更调查项目（自管区范围内）</w:t>
      </w:r>
      <w:r>
        <w:rPr/>
        <w:t>采用竞争性磋商采购方式进行采购，兹邀请供应商参加本项目的竞争性磋商。</w:t>
      </w:r>
    </w:p>
    <w:p>
      <w:pPr>
        <w:pStyle w:val="null3"/>
        <w:outlineLvl w:val="2"/>
      </w:pPr>
      <w:r>
        <w:rPr>
          <w:sz w:val="28"/>
          <w:b/>
        </w:rPr>
        <w:t>一、项目编号：</w:t>
      </w:r>
      <w:r>
        <w:rPr>
          <w:sz w:val="28"/>
          <w:b/>
        </w:rPr>
        <w:t>SXLX24-01-034Z(F)</w:t>
      </w:r>
    </w:p>
    <w:p>
      <w:pPr>
        <w:pStyle w:val="null3"/>
        <w:outlineLvl w:val="2"/>
      </w:pPr>
      <w:r>
        <w:rPr>
          <w:sz w:val="28"/>
          <w:b/>
        </w:rPr>
        <w:t>二、项目名称：</w:t>
      </w:r>
      <w:r>
        <w:rPr>
          <w:sz w:val="28"/>
          <w:b/>
        </w:rPr>
        <w:t>雁塔区2023年度国土变更调查项目（自管区范围内）</w:t>
      </w:r>
    </w:p>
    <w:p>
      <w:pPr>
        <w:pStyle w:val="null3"/>
        <w:outlineLvl w:val="2"/>
      </w:pPr>
      <w:r>
        <w:rPr>
          <w:sz w:val="28"/>
          <w:b/>
        </w:rPr>
        <w:t>三、磋商项目简介</w:t>
      </w:r>
    </w:p>
    <w:p>
      <w:pPr>
        <w:pStyle w:val="null3"/>
        <w:ind w:firstLine="480"/>
      </w:pPr>
      <w:r>
        <w:rPr/>
        <w:t>在2022年度国土调查成果基础上，开展遥感监测，通过县级实地调查，省级、国家级核查，掌握2023年度国土利用的变化情况，更新国土调查数据库等服务内容，满足当前自然资源管理工作的需要，保障雁塔区自管区内国土调查成果的现势性和准确性；各项服务标准符合国家（行业）强制性标准及采购人要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采购包1（雁塔区2023年度国土变更调查项目（自管区范围内））：属于专门面向中小企业采购。</w:t>
      </w:r>
    </w:p>
    <w:p>
      <w:pPr>
        <w:pStyle w:val="null3"/>
        <w:ind w:firstLine="480"/>
      </w:pPr>
      <w:r>
        <w:rPr/>
        <w:t>（三）本项目的特定资格要求：</w:t>
      </w:r>
    </w:p>
    <w:p>
      <w:pPr>
        <w:pStyle w:val="null3"/>
      </w:pPr>
      <w:r>
        <w:rPr/>
        <w:t>采购包1：</w:t>
      </w:r>
    </w:p>
    <w:p>
      <w:pPr>
        <w:pStyle w:val="null3"/>
      </w:pPr>
      <w:r>
        <w:rPr/>
        <w:t>1、供应商需具备行政主管部门颁发的《测绘资质证书乙级》及以上资质（专业范围包含：摄影测量与遥感、地理信息系统工程）：供应商需具备行政主管部门颁发的《测绘资质证书乙级》及以上资质（专业范围包含：摄影测量与遥感、地理信息系统工程）</w:t>
      </w:r>
    </w:p>
    <w:p>
      <w:pPr>
        <w:pStyle w:val="null3"/>
      </w:pPr>
      <w:r>
        <w:rPr/>
        <w:t>2、拟派项目负责人需具备测绘类工程师及以上职称或者注册测绘师证书：拟派项目负责人需具备测绘类工程师及以上职称或者注册测绘师证书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西安市自然资源和规划局雁塔分局</w:t>
      </w:r>
    </w:p>
    <w:p>
      <w:pPr>
        <w:pStyle w:val="null3"/>
      </w:pPr>
      <w:r>
        <w:rPr/>
        <w:t xml:space="preserve"> 地址： </w:t>
      </w:r>
      <w:r>
        <w:rPr/>
        <w:t>西安市雁塔区朱雀大街21号朱雀云天</w:t>
      </w:r>
    </w:p>
    <w:p>
      <w:pPr>
        <w:pStyle w:val="null3"/>
      </w:pPr>
      <w:r>
        <w:rPr/>
        <w:t xml:space="preserve"> 邮编： </w:t>
      </w:r>
      <w:r>
        <w:rPr/>
        <w:t>/</w:t>
      </w:r>
    </w:p>
    <w:p>
      <w:pPr>
        <w:pStyle w:val="null3"/>
      </w:pPr>
      <w:r>
        <w:rPr/>
        <w:t xml:space="preserve"> 联系人： </w:t>
      </w:r>
      <w:r>
        <w:rPr/>
        <w:t>刘祯羽</w:t>
      </w:r>
    </w:p>
    <w:p>
      <w:pPr>
        <w:pStyle w:val="null3"/>
      </w:pPr>
      <w:r>
        <w:rPr/>
        <w:t xml:space="preserve"> 联系电话： </w:t>
      </w:r>
      <w:r>
        <w:rPr/>
        <w:t>029-89350555</w:t>
      </w:r>
    </w:p>
    <w:p>
      <w:pPr>
        <w:pStyle w:val="null3"/>
        <w:outlineLvl w:val="3"/>
      </w:pPr>
      <w:r>
        <w:rPr>
          <w:sz w:val="24"/>
          <w:b/>
        </w:rPr>
        <w:t>代理机构：</w:t>
      </w:r>
      <w:r>
        <w:rPr>
          <w:sz w:val="24"/>
          <w:b/>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任甜、郑婧婧、冷冰、袁歆雨</w:t>
      </w:r>
    </w:p>
    <w:p>
      <w:pPr>
        <w:pStyle w:val="null3"/>
      </w:pPr>
      <w:r>
        <w:rPr/>
        <w:t xml:space="preserve"> 联系电话： </w:t>
      </w:r>
      <w:r>
        <w:rPr/>
        <w:t>029-88489979-8105</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国家发改委办公厅《关于招标代理服务收费有关问题的通知》（发改办价格〔2003〕857号）《关于进一步放开建设项目专项业务服务价格的通知》（发改价格〔2015〕299号）文件规定的标准收取，不足捌仟圆按捌仟圆收取，具体收费金额将在成交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西安市自然资源和规划局雁塔分局</w:t>
      </w:r>
      <w:r>
        <w:rPr/>
        <w:t>和</w:t>
      </w:r>
      <w:r>
        <w:rPr/>
        <w:t>陕西隆信项目管理有限公司</w:t>
      </w:r>
      <w:r>
        <w:rPr/>
        <w:t>享有。对磋商文件中供应商参加本次政府采购活动应当具备的条件，磋商项目技术、服务、商务及其他要求，评审细则及标准由</w:t>
      </w:r>
      <w:r>
        <w:rPr/>
        <w:t>西安市自然资源和规划局雁塔分局</w:t>
      </w:r>
      <w:r>
        <w:rPr/>
        <w:t>负责解释。除上述磋商文件内容，其他内容由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西安市自然资源和规划局雁塔分局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根据采购合同规定，对供应商的交付成果按采购文件的验收标准进行验收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联系人：任甜、郑婧婧、冷冰、袁歆雨</w:t>
      </w:r>
    </w:p>
    <w:p>
      <w:pPr>
        <w:pStyle w:val="null3"/>
      </w:pPr>
      <w:r>
        <w:rPr/>
        <w:t>联系电话：029-88489979-8105</w:t>
      </w:r>
    </w:p>
    <w:p>
      <w:pPr>
        <w:pStyle w:val="null3"/>
      </w:pPr>
      <w:r>
        <w:rPr/>
        <w:t>地址：西安市莲湖区丰登南路9号怡景花园酒店A座二层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在2022年度国土调查成果基础上，开展遥感监测，通过县级实地调查，省级、国家级核查，掌握2023年度国土利用的变化情况，更新国土调查数据库等服务内容，满足当前自然资源管理工作的需要，保障雁塔区自管区内国土调查成果的现势性和准确性；各项服务标准符合国家（行业）强制性标准及采购人要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雁塔区2023年度国土变更调查项目（自管区范围内）</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标的名称：雁塔区2023年度国土变更调查项目（自管区范围内）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11"/>
              <w:jc w:val="left"/>
            </w:pPr>
            <w:r>
              <w:rPr>
                <w:rFonts w:ascii="宋体" w:hAnsi="宋体" w:cs="宋体" w:eastAsia="宋体"/>
                <w:sz w:val="21"/>
                <w:b/>
                <w:color w:val="000000"/>
              </w:rPr>
              <w:t>一、项目概况及总体要求</w:t>
            </w:r>
          </w:p>
          <w:p>
            <w:pPr>
              <w:pStyle w:val="null3"/>
              <w:ind w:firstLine="420"/>
              <w:jc w:val="both"/>
            </w:pPr>
            <w:r>
              <w:rPr>
                <w:rFonts w:ascii="宋体" w:hAnsi="宋体" w:cs="宋体" w:eastAsia="宋体"/>
                <w:sz w:val="21"/>
                <w:color w:val="000000"/>
              </w:rPr>
              <w:t>1</w:t>
            </w:r>
            <w:r>
              <w:rPr>
                <w:rFonts w:ascii="宋体" w:hAnsi="宋体" w:cs="宋体" w:eastAsia="宋体"/>
                <w:sz w:val="21"/>
                <w:color w:val="000000"/>
              </w:rPr>
              <w:t>.1</w:t>
            </w:r>
            <w:r>
              <w:rPr>
                <w:rFonts w:ascii="宋体" w:hAnsi="宋体" w:cs="宋体" w:eastAsia="宋体"/>
                <w:sz w:val="21"/>
                <w:color w:val="000000"/>
              </w:rPr>
              <w:t>在</w:t>
            </w:r>
            <w:r>
              <w:rPr>
                <w:rFonts w:ascii="宋体" w:hAnsi="宋体" w:cs="宋体" w:eastAsia="宋体"/>
                <w:sz w:val="21"/>
                <w:color w:val="000000"/>
              </w:rPr>
              <w:t>2022年度国土调查成果基础上，开展遥感监测，通过县级实地调查，省级、国家级核查，掌握2023年度国土利用的变化情况，更新国土调查数据库等服务内容，满足当前自然资源管理工作的需要，保障雁塔区自管区内国土调查成果的现势性和准确性；各项服务标准符合国家（行业）强制性标准及采购人要求。</w:t>
            </w:r>
          </w:p>
          <w:p>
            <w:pPr>
              <w:pStyle w:val="null3"/>
              <w:ind w:right="-195" w:firstLine="420"/>
              <w:jc w:val="left"/>
            </w:pPr>
            <w:r>
              <w:rPr>
                <w:rFonts w:ascii="宋体" w:hAnsi="宋体" w:cs="宋体" w:eastAsia="宋体"/>
                <w:sz w:val="21"/>
                <w:color w:val="000000"/>
              </w:rPr>
              <w:t>1</w:t>
            </w:r>
            <w:r>
              <w:rPr>
                <w:rFonts w:ascii="宋体" w:hAnsi="宋体" w:cs="宋体" w:eastAsia="宋体"/>
                <w:sz w:val="21"/>
                <w:color w:val="000000"/>
              </w:rPr>
              <w:t>.2</w:t>
            </w:r>
            <w:r>
              <w:rPr>
                <w:rFonts w:ascii="宋体" w:hAnsi="宋体" w:cs="宋体" w:eastAsia="宋体"/>
                <w:sz w:val="21"/>
                <w:color w:val="000000"/>
              </w:rPr>
              <w:t>本项目所属行业为</w:t>
            </w:r>
            <w:r>
              <w:rPr>
                <w:rFonts w:ascii="宋体" w:hAnsi="宋体" w:cs="宋体" w:eastAsia="宋体"/>
                <w:sz w:val="21"/>
                <w:color w:val="000000"/>
              </w:rPr>
              <w:t>:</w:t>
            </w:r>
            <w:r>
              <w:rPr>
                <w:rFonts w:ascii="宋体" w:hAnsi="宋体" w:cs="宋体" w:eastAsia="宋体"/>
                <w:sz w:val="21"/>
                <w:color w:val="000000"/>
                <w:u w:val="single"/>
              </w:rPr>
              <w:t xml:space="preserve"> </w:t>
            </w:r>
            <w:r>
              <w:rPr>
                <w:rFonts w:ascii="宋体" w:hAnsi="宋体" w:cs="宋体" w:eastAsia="宋体"/>
                <w:sz w:val="21"/>
                <w:color w:val="000000"/>
                <w:u w:val="single"/>
              </w:rPr>
              <w:t>其他未列明行业</w:t>
            </w:r>
            <w:r>
              <w:rPr>
                <w:rFonts w:ascii="宋体" w:hAnsi="宋体" w:cs="宋体" w:eastAsia="宋体"/>
                <w:sz w:val="21"/>
                <w:color w:val="000000"/>
              </w:rPr>
              <w:t>（从业人员</w:t>
            </w:r>
            <w:r>
              <w:rPr>
                <w:rFonts w:ascii="宋体" w:hAnsi="宋体" w:cs="宋体" w:eastAsia="宋体"/>
                <w:sz w:val="21"/>
                <w:color w:val="000000"/>
              </w:rPr>
              <w:t>300人以下的为中小微型企业。其中，从业人员100人及以上的为中型企业；从业人员10人及以上的为小型企业；从业人员10人以下的为微型企业）</w:t>
            </w:r>
          </w:p>
          <w:p>
            <w:pPr>
              <w:pStyle w:val="null3"/>
              <w:ind w:firstLine="211"/>
              <w:jc w:val="left"/>
            </w:pPr>
            <w:r>
              <w:rPr>
                <w:rFonts w:ascii="宋体" w:hAnsi="宋体" w:cs="宋体" w:eastAsia="宋体"/>
                <w:sz w:val="21"/>
                <w:b/>
                <w:color w:val="000000"/>
              </w:rPr>
              <w:t>二、服务内容与要求</w:t>
            </w:r>
          </w:p>
          <w:p>
            <w:pPr>
              <w:pStyle w:val="null3"/>
              <w:ind w:firstLine="419"/>
              <w:jc w:val="both"/>
            </w:pPr>
            <w:r>
              <w:rPr>
                <w:rFonts w:ascii="宋体" w:hAnsi="宋体" w:cs="宋体" w:eastAsia="宋体"/>
                <w:sz w:val="21"/>
                <w:color w:val="000000"/>
              </w:rPr>
              <w:t>2.1</w:t>
            </w:r>
            <w:r>
              <w:rPr>
                <w:rFonts w:ascii="宋体" w:hAnsi="宋体" w:cs="宋体" w:eastAsia="宋体"/>
                <w:sz w:val="21"/>
                <w:color w:val="000000"/>
              </w:rPr>
              <w:t>工作</w:t>
            </w:r>
            <w:r>
              <w:rPr>
                <w:rFonts w:ascii="宋体" w:hAnsi="宋体" w:cs="宋体" w:eastAsia="宋体"/>
                <w:sz w:val="21"/>
                <w:color w:val="000000"/>
              </w:rPr>
              <w:t>目标</w:t>
            </w:r>
          </w:p>
          <w:p>
            <w:pPr>
              <w:pStyle w:val="null3"/>
              <w:ind w:firstLine="420"/>
              <w:jc w:val="both"/>
            </w:pPr>
            <w:r>
              <w:rPr>
                <w:rFonts w:ascii="宋体" w:hAnsi="宋体" w:cs="宋体" w:eastAsia="宋体"/>
                <w:sz w:val="21"/>
                <w:color w:val="000000"/>
              </w:rPr>
              <w:t>拟对雁塔区进行国土变更调查与遥感监测工作；以日常变更为基础，结合自然资源部下发的</w:t>
            </w:r>
            <w:r>
              <w:rPr>
                <w:rFonts w:ascii="宋体" w:hAnsi="宋体" w:cs="宋体" w:eastAsia="宋体"/>
                <w:sz w:val="21"/>
                <w:color w:val="000000"/>
              </w:rPr>
              <w:t>2022年度国土利用遥感监测成果，采用外业实地核查和在线举证的方式，调查2023年度全县各类国土利用的实际变化情况。依据自然资源部下发的2023年度全国国土利用变更调查和遥感监测实施方案、2023年度国土变更调查技术规程、要求以及陕西省自然资源厅下发的相关要求，在规定的时间内完成雁塔区2023年度国土变更调查数据库更新与上报；按时完成自然资源部和省自然资源厅要求的国土变更调查国家级核查结果修改上报和地方复核工作。</w:t>
            </w:r>
          </w:p>
          <w:p>
            <w:pPr>
              <w:pStyle w:val="null3"/>
              <w:ind w:firstLine="420"/>
              <w:jc w:val="both"/>
            </w:pPr>
            <w:r>
              <w:rPr>
                <w:rFonts w:ascii="宋体" w:hAnsi="宋体" w:cs="宋体" w:eastAsia="宋体"/>
                <w:sz w:val="21"/>
                <w:color w:val="000000"/>
              </w:rPr>
              <w:t>2</w:t>
            </w:r>
            <w:r>
              <w:rPr>
                <w:rFonts w:ascii="宋体" w:hAnsi="宋体" w:cs="宋体" w:eastAsia="宋体"/>
                <w:sz w:val="21"/>
                <w:color w:val="000000"/>
              </w:rPr>
              <w:t>.2</w:t>
            </w:r>
            <w:r>
              <w:rPr>
                <w:rFonts w:ascii="宋体" w:hAnsi="宋体" w:cs="宋体" w:eastAsia="宋体"/>
                <w:sz w:val="21"/>
                <w:color w:val="000000"/>
              </w:rPr>
              <w:t>工作任务</w:t>
            </w:r>
          </w:p>
          <w:p>
            <w:pPr>
              <w:pStyle w:val="null3"/>
              <w:ind w:firstLine="210"/>
              <w:jc w:val="left"/>
            </w:pPr>
            <w:r>
              <w:rPr>
                <w:rFonts w:ascii="宋体" w:hAnsi="宋体" w:cs="宋体" w:eastAsia="宋体"/>
                <w:sz w:val="21"/>
                <w:color w:val="000000"/>
              </w:rPr>
              <w:t>（</w:t>
            </w:r>
            <w:r>
              <w:rPr>
                <w:rFonts w:ascii="宋体" w:hAnsi="宋体" w:cs="宋体" w:eastAsia="宋体"/>
                <w:sz w:val="21"/>
                <w:color w:val="000000"/>
              </w:rPr>
              <w:t>1）</w:t>
            </w:r>
            <w:r>
              <w:rPr>
                <w:rFonts w:ascii="宋体" w:hAnsi="宋体" w:cs="宋体" w:eastAsia="宋体"/>
                <w:sz w:val="21"/>
                <w:color w:val="000000"/>
              </w:rPr>
              <w:t>准备工作</w:t>
            </w:r>
            <w:r>
              <w:rPr>
                <w:rFonts w:ascii="宋体" w:hAnsi="宋体" w:cs="宋体" w:eastAsia="宋体"/>
                <w:sz w:val="21"/>
                <w:color w:val="000000"/>
              </w:rPr>
              <w:t>：包括收集行政区域界线、权属界线的调整资料、领取遥感监测成果、用地管理信息整理核实、制作国土变更调查工作底图、准备定位测量设备、计算机、平板电脑、通讯设备、软件系统、交通工具，以及相应记录表等、对国土变更调查人员应进行技术培训，统一国土变更调查的要求、方法和程序等。</w:t>
            </w:r>
          </w:p>
          <w:p>
            <w:pPr>
              <w:pStyle w:val="null3"/>
              <w:ind w:firstLine="210"/>
              <w:jc w:val="left"/>
            </w:pPr>
            <w:r>
              <w:rPr>
                <w:rFonts w:ascii="宋体" w:hAnsi="宋体" w:cs="宋体" w:eastAsia="宋体"/>
                <w:sz w:val="21"/>
                <w:color w:val="000000"/>
              </w:rPr>
              <w:t>（</w:t>
            </w:r>
            <w:r>
              <w:rPr>
                <w:rFonts w:ascii="宋体" w:hAnsi="宋体" w:cs="宋体" w:eastAsia="宋体"/>
                <w:sz w:val="21"/>
                <w:color w:val="000000"/>
              </w:rPr>
              <w:t>2）</w:t>
            </w:r>
            <w:r>
              <w:rPr>
                <w:rFonts w:ascii="宋体" w:hAnsi="宋体" w:cs="宋体" w:eastAsia="宋体"/>
                <w:sz w:val="21"/>
                <w:color w:val="000000"/>
              </w:rPr>
              <w:t>调查界线调整：乡（镇）级行政区域界线如果发生变化（包括：名称、代码、界线位置变化）需要调整，应依据相关主管部门的批准文件在本年国土变更调查中，提取由于界线变化产生的变化信息，随本年度更新数据包一并上报。</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3）</w:t>
            </w:r>
            <w:r>
              <w:rPr>
                <w:rFonts w:ascii="宋体" w:hAnsi="宋体" w:cs="宋体" w:eastAsia="宋体"/>
                <w:sz w:val="21"/>
                <w:color w:val="000000"/>
              </w:rPr>
              <w:t>权属界线上图和补充调查：权属调查内容包括集体土地所有权和国有土地使用权的权属性质变化、权属界线变化和权属单位名称变化。权属性质发生变化的，应按照实际情况变更。权属界线发生变化的，界线双方应依法重新签订地权属界线协议书，将变化后的界线调绘在国土变更调查工作底图上。同时提取涉及界线变化的信息。权属单位名称发生变化的，应按照实际情况变更。</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4）</w:t>
            </w:r>
            <w:r>
              <w:rPr>
                <w:rFonts w:ascii="宋体" w:hAnsi="宋体" w:cs="宋体" w:eastAsia="宋体"/>
                <w:sz w:val="21"/>
                <w:color w:val="000000"/>
              </w:rPr>
              <w:t>地类调查与图斑举证：根据领取的遥感监测图斑开展各类国土利用现状细化调查和补充调查。对照实地现状，结合日常变更，对遥感监测图斑的位置、范围、地类、权属等逐一进行核实和确认，填写遥感监测图斑信息核实记录表、设施农用地图斑核实记录表、临时用地图斑核实记录表、推堆土图斑核实记录表和拆除图斑核实记录表；开展土地整治项目新增耕地、农业结构调整新增耕地，以及其他方式新增耕地变化调查；确定新增耕地坡度分级和耕地类型；农用地变未利用地、国家生态退耕以及其他变化地类调查。通过陕西国土调查云对遥感监测图斑和重点变更图斑进行举证，自主提取图斑原则上全部要求举证。</w:t>
            </w:r>
          </w:p>
          <w:p>
            <w:pPr>
              <w:pStyle w:val="null3"/>
              <w:ind w:firstLine="210"/>
              <w:jc w:val="left"/>
            </w:pPr>
            <w:r>
              <w:rPr>
                <w:rFonts w:ascii="宋体" w:hAnsi="宋体" w:cs="宋体" w:eastAsia="宋体"/>
                <w:sz w:val="21"/>
                <w:color w:val="000000"/>
              </w:rPr>
              <w:t>（</w:t>
            </w:r>
            <w:r>
              <w:rPr>
                <w:rFonts w:ascii="宋体" w:hAnsi="宋体" w:cs="宋体" w:eastAsia="宋体"/>
                <w:sz w:val="21"/>
                <w:color w:val="000000"/>
              </w:rPr>
              <w:t>5</w:t>
            </w:r>
            <w:r>
              <w:rPr>
                <w:rFonts w:ascii="宋体" w:hAnsi="宋体" w:cs="宋体" w:eastAsia="宋体"/>
                <w:sz w:val="21"/>
                <w:color w:val="000000"/>
              </w:rPr>
              <w:t>）</w:t>
            </w:r>
            <w:r>
              <w:rPr>
                <w:rFonts w:ascii="宋体" w:hAnsi="宋体" w:cs="宋体" w:eastAsia="宋体"/>
                <w:sz w:val="21"/>
                <w:color w:val="000000"/>
              </w:rPr>
              <w:t>2023年度变更调查数据库更新：采用增量更新的方式，开展2023年度变更调查数据库更新工作。以2022年度变更调查数据库基础，依据国土变更调查内外业成果，变更国土调查数据库，提取变化图斑，生成更新数据包。国土变更调查所用的基础数据库应与2022年度变更调查数据保持完全一致。数据库变更过程中，涉及发生变更的图斑，应保证变更前图斑总面积与变更后图斑总面积完全一致。未变更图斑面积不得改变。严格依据国土变更调查记录表采集属性数据。变更后形成的数据库所有地类面积之和，应等于相应行政辖区、权属单位控制面积，同时等于第三次国土调查数据库汇总总面积。数据库更新所生成各项统计汇总表，应保证“图数一致”、符合汇总逻辑要求，同一数据在不同表格中应一致。数据库成果应通过国家数据库质量检查软件检查无错误。</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6</w:t>
            </w:r>
            <w:r>
              <w:rPr>
                <w:rFonts w:ascii="宋体" w:hAnsi="宋体" w:cs="宋体" w:eastAsia="宋体"/>
                <w:sz w:val="21"/>
                <w:color w:val="000000"/>
              </w:rPr>
              <w:t>）</w:t>
            </w:r>
            <w:r>
              <w:rPr>
                <w:rFonts w:ascii="宋体" w:hAnsi="宋体" w:cs="宋体" w:eastAsia="宋体"/>
                <w:sz w:val="21"/>
                <w:color w:val="000000"/>
              </w:rPr>
              <w:t>数据统计汇总：汇总</w:t>
            </w:r>
            <w:r>
              <w:rPr>
                <w:rFonts w:ascii="宋体" w:hAnsi="宋体" w:cs="宋体" w:eastAsia="宋体"/>
                <w:sz w:val="21"/>
                <w:color w:val="000000"/>
              </w:rPr>
              <w:t>2023年度国土利用现状及变化数据。依据国土变更调查记录表、国土变更调查工作底图更新数据库，由数据库直接生成国土变更一览表。依据国土变更一览表，由数据库直接生成土地利用现状变更表和三大类土地利用现状变更表。依据国土变更一览表，由数据库直接生成土地利用现状一级分类面积按权属性质、耕地坡度分级、基本农田、可调整地类面积统计汇总表、土地利用现状变更表。国土变更调查各类面积统计汇总表。</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7</w:t>
            </w:r>
            <w:r>
              <w:rPr>
                <w:rFonts w:ascii="宋体" w:hAnsi="宋体" w:cs="宋体" w:eastAsia="宋体"/>
                <w:sz w:val="21"/>
                <w:color w:val="000000"/>
              </w:rPr>
              <w:t>）</w:t>
            </w:r>
            <w:r>
              <w:rPr>
                <w:rFonts w:ascii="宋体" w:hAnsi="宋体" w:cs="宋体" w:eastAsia="宋体"/>
                <w:sz w:val="21"/>
                <w:color w:val="000000"/>
              </w:rPr>
              <w:t>对本区</w:t>
            </w:r>
            <w:r>
              <w:rPr>
                <w:rFonts w:ascii="宋体" w:hAnsi="宋体" w:cs="宋体" w:eastAsia="宋体"/>
                <w:sz w:val="21"/>
                <w:color w:val="000000"/>
              </w:rPr>
              <w:t>2023年度变更调查更新成果进行100%全面自检，确保成果的完整性、规范性、真实性和准确性，同时，利用全国统一的数据库质量检查软件检查统一时点增量数据的规范性。</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8</w:t>
            </w:r>
            <w:r>
              <w:rPr>
                <w:rFonts w:ascii="宋体" w:hAnsi="宋体" w:cs="宋体" w:eastAsia="宋体"/>
                <w:sz w:val="21"/>
                <w:color w:val="000000"/>
              </w:rPr>
              <w:t>）</w:t>
            </w:r>
            <w:r>
              <w:rPr>
                <w:rFonts w:ascii="宋体" w:hAnsi="宋体" w:cs="宋体" w:eastAsia="宋体"/>
                <w:sz w:val="21"/>
                <w:color w:val="000000"/>
              </w:rPr>
              <w:t>报告编写：依据生成及汇总的各种表格</w:t>
            </w:r>
            <w:r>
              <w:rPr>
                <w:rFonts w:ascii="宋体" w:hAnsi="宋体" w:cs="宋体" w:eastAsia="宋体"/>
                <w:sz w:val="21"/>
                <w:color w:val="000000"/>
              </w:rPr>
              <w:t>,进行数据分析，按照国土利用变化情况分析报告编写说明，编写2023年度国土利用变化情况分析报告。</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9</w:t>
            </w:r>
            <w:r>
              <w:rPr>
                <w:rFonts w:ascii="宋体" w:hAnsi="宋体" w:cs="宋体" w:eastAsia="宋体"/>
                <w:sz w:val="21"/>
                <w:color w:val="000000"/>
              </w:rPr>
              <w:t>）</w:t>
            </w:r>
            <w:r>
              <w:rPr>
                <w:rFonts w:ascii="宋体" w:hAnsi="宋体" w:cs="宋体" w:eastAsia="宋体"/>
                <w:sz w:val="21"/>
                <w:color w:val="000000"/>
              </w:rPr>
              <w:t>成果归档：包括对调查过程中形成的图、表、文档、数据库等成果资料，按照档案管理要求进行整理归档。</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10</w:t>
            </w:r>
            <w:r>
              <w:rPr>
                <w:rFonts w:ascii="宋体" w:hAnsi="宋体" w:cs="宋体" w:eastAsia="宋体"/>
                <w:sz w:val="21"/>
                <w:color w:val="000000"/>
              </w:rPr>
              <w:t>）</w:t>
            </w:r>
            <w:r>
              <w:rPr>
                <w:rFonts w:ascii="宋体" w:hAnsi="宋体" w:cs="宋体" w:eastAsia="宋体"/>
                <w:sz w:val="21"/>
                <w:color w:val="000000"/>
              </w:rPr>
              <w:t>其他工作：国家、省、市要求的其他国土变更调查相关工作。</w:t>
            </w:r>
          </w:p>
          <w:p>
            <w:pPr>
              <w:pStyle w:val="null3"/>
              <w:ind w:firstLine="420"/>
              <w:jc w:val="both"/>
            </w:pPr>
            <w:r>
              <w:rPr>
                <w:rFonts w:ascii="宋体" w:hAnsi="宋体" w:cs="宋体" w:eastAsia="宋体"/>
                <w:sz w:val="21"/>
                <w:color w:val="000000"/>
              </w:rPr>
              <w:t>2</w:t>
            </w:r>
            <w:r>
              <w:rPr>
                <w:rFonts w:ascii="宋体" w:hAnsi="宋体" w:cs="宋体" w:eastAsia="宋体"/>
                <w:sz w:val="21"/>
                <w:color w:val="000000"/>
              </w:rPr>
              <w:t>.3</w:t>
            </w:r>
            <w:r>
              <w:rPr>
                <w:rFonts w:ascii="宋体" w:hAnsi="宋体" w:cs="宋体" w:eastAsia="宋体"/>
                <w:sz w:val="21"/>
                <w:color w:val="000000"/>
              </w:rPr>
              <w:t>主要技术指标和规格要求</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1）土地分类：土地分类采用《第三次全国土地调查工作分类》。</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2）调查比例尺：依据国家要求。</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3）数学基础：①平面坐标系统：2000国家大地坐标系，高斯克吕格投影3°带平面直角坐标系；②高程系统：高程基准采用1985国家高程基准；③调查比例尺：调查比例尺1:10000；④分幅和编号：采用国家基本比例尺地形图的分幅和编号，具体参见《国家基本比例尺地形图分幅和编号》（GB/T13989）；⑤数据交换格式：（采用《国土调查数据库标准》规定的数据格式）；⑥计量单位：长度、宽度单位采用米（m），保留一位小数；面积计算单位采用平方米（㎡），保留二位小数；面积统计汇总单位采用公顷</w:t>
            </w:r>
            <w:r>
              <w:rPr>
                <w:rFonts w:ascii="宋体" w:hAnsi="宋体" w:cs="宋体" w:eastAsia="宋体"/>
                <w:sz w:val="21"/>
                <w:color w:val="000000"/>
              </w:rPr>
              <w:t>（</w:t>
            </w:r>
            <w:r>
              <w:rPr>
                <w:rFonts w:ascii="宋体" w:hAnsi="宋体" w:cs="宋体" w:eastAsia="宋体"/>
                <w:sz w:val="21"/>
                <w:color w:val="000000"/>
              </w:rPr>
              <w:t>h㎡）</w:t>
            </w:r>
            <w:r>
              <w:rPr>
                <w:rFonts w:ascii="宋体" w:hAnsi="宋体" w:cs="宋体" w:eastAsia="宋体"/>
                <w:sz w:val="21"/>
                <w:color w:val="000000"/>
              </w:rPr>
              <w:t>，保留二位小数。图斑信息核实记录各类报表面积单位采用亩，保留一位小数。</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4）所提供的服务符合国家现行标准和相应的技术规范，这些标准和技术规范应为合同签订之日为止最新公布发行的标准和技术规范。</w:t>
            </w:r>
          </w:p>
          <w:p>
            <w:pPr>
              <w:pStyle w:val="null3"/>
              <w:ind w:firstLine="420"/>
              <w:jc w:val="both"/>
            </w:pPr>
            <w:r>
              <w:rPr>
                <w:rFonts w:ascii="宋体" w:hAnsi="宋体" w:cs="宋体" w:eastAsia="宋体"/>
                <w:sz w:val="21"/>
                <w:color w:val="000000"/>
              </w:rPr>
              <w:t>2</w:t>
            </w:r>
            <w:r>
              <w:rPr>
                <w:rFonts w:ascii="宋体" w:hAnsi="宋体" w:cs="宋体" w:eastAsia="宋体"/>
                <w:sz w:val="21"/>
                <w:color w:val="000000"/>
              </w:rPr>
              <w:t>.4</w:t>
            </w:r>
            <w:r>
              <w:rPr>
                <w:rFonts w:ascii="宋体" w:hAnsi="宋体" w:cs="宋体" w:eastAsia="宋体"/>
                <w:sz w:val="21"/>
                <w:color w:val="000000"/>
              </w:rPr>
              <w:t>项目成果要求：</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1）遥感监测成果：①遥感正射影像图；②遥感监测图斑。</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2）外业调查成果：①外业调查图件；②地物补测资料；③图斑举证数据包（DB格式）。</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3）数据库成果：①更新后的国土调查数据库；②国土调查数据库更新数据包（含增量信息与统计报表，由数据库质检软件打包生成）。</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4）图斑信息核实各类报表：①遥感监测图斑信息核实记录表（MDB格式）；②统一时点复核错误图斑列表（MDB格式）；③举证图斑信息表（MDB格式）。</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5）各类统计汇总表：①土地变更一览表；②土地利用现状变更表；③三大类土地利用现状变更表；</w:t>
            </w:r>
            <w:r>
              <w:rPr>
                <w:rFonts w:ascii="宋体" w:hAnsi="宋体" w:cs="宋体" w:eastAsia="宋体"/>
                <w:sz w:val="21"/>
                <w:color w:val="000000"/>
              </w:rPr>
              <w:t>④</w:t>
            </w:r>
            <w:r>
              <w:rPr>
                <w:rFonts w:ascii="宋体" w:hAnsi="宋体" w:cs="宋体" w:eastAsia="宋体"/>
                <w:sz w:val="21"/>
                <w:color w:val="000000"/>
              </w:rPr>
              <w:t>土地利用现状一级分类按权属性质统计汇总表；</w:t>
            </w:r>
            <w:r>
              <w:rPr>
                <w:rFonts w:ascii="宋体" w:hAnsi="宋体" w:cs="宋体" w:eastAsia="宋体"/>
                <w:sz w:val="21"/>
                <w:color w:val="000000"/>
              </w:rPr>
              <w:t>⑤</w:t>
            </w:r>
            <w:r>
              <w:rPr>
                <w:rFonts w:ascii="宋体" w:hAnsi="宋体" w:cs="宋体" w:eastAsia="宋体"/>
                <w:sz w:val="21"/>
                <w:color w:val="000000"/>
              </w:rPr>
              <w:t>耕地坡度分级面积统计汇总表；</w:t>
            </w:r>
            <w:r>
              <w:rPr>
                <w:rFonts w:ascii="宋体" w:hAnsi="宋体" w:cs="宋体" w:eastAsia="宋体"/>
                <w:sz w:val="21"/>
                <w:color w:val="000000"/>
              </w:rPr>
              <w:t>⑥</w:t>
            </w:r>
            <w:r>
              <w:rPr>
                <w:rFonts w:ascii="宋体" w:hAnsi="宋体" w:cs="宋体" w:eastAsia="宋体"/>
                <w:sz w:val="21"/>
                <w:color w:val="000000"/>
              </w:rPr>
              <w:t>耕地种植类型面积统计汇总表；</w:t>
            </w:r>
            <w:r>
              <w:rPr>
                <w:rFonts w:ascii="宋体" w:hAnsi="宋体" w:cs="宋体" w:eastAsia="宋体"/>
                <w:sz w:val="21"/>
                <w:color w:val="000000"/>
              </w:rPr>
              <w:t>⑦</w:t>
            </w:r>
            <w:r>
              <w:rPr>
                <w:rFonts w:ascii="宋体" w:hAnsi="宋体" w:cs="宋体" w:eastAsia="宋体"/>
                <w:sz w:val="21"/>
                <w:color w:val="000000"/>
              </w:rPr>
              <w:t>可调整地类面积统计汇总表；</w:t>
            </w:r>
            <w:r>
              <w:rPr>
                <w:rFonts w:ascii="宋体" w:hAnsi="宋体" w:cs="宋体" w:eastAsia="宋体"/>
                <w:sz w:val="21"/>
                <w:color w:val="000000"/>
              </w:rPr>
              <w:t>⑧</w:t>
            </w:r>
            <w:r>
              <w:rPr>
                <w:rFonts w:ascii="宋体" w:hAnsi="宋体" w:cs="宋体" w:eastAsia="宋体"/>
                <w:sz w:val="21"/>
                <w:color w:val="000000"/>
              </w:rPr>
              <w:t>耕地细化调查面积统计汇总表；</w:t>
            </w:r>
            <w:r>
              <w:rPr>
                <w:rFonts w:ascii="宋体" w:hAnsi="宋体" w:cs="宋体" w:eastAsia="宋体"/>
                <w:sz w:val="21"/>
                <w:color w:val="000000"/>
              </w:rPr>
              <w:t>⑨</w:t>
            </w:r>
            <w:r>
              <w:rPr>
                <w:rFonts w:ascii="宋体" w:hAnsi="宋体" w:cs="宋体" w:eastAsia="宋体"/>
                <w:sz w:val="21"/>
                <w:color w:val="000000"/>
              </w:rPr>
              <w:t>城镇村及工矿用地面积统计汇总表；</w:t>
            </w:r>
            <w:r>
              <w:rPr>
                <w:rFonts w:ascii="宋体" w:hAnsi="宋体" w:cs="宋体" w:eastAsia="宋体"/>
                <w:sz w:val="21"/>
                <w:color w:val="000000"/>
              </w:rPr>
              <w:t>⑩</w:t>
            </w:r>
            <w:r>
              <w:rPr>
                <w:rFonts w:ascii="宋体" w:hAnsi="宋体" w:cs="宋体" w:eastAsia="宋体"/>
                <w:sz w:val="21"/>
                <w:color w:val="000000"/>
              </w:rPr>
              <w:t>即可恢复与工程恢复种植属性面积统计汇总表；</w:t>
            </w:r>
            <w:r>
              <w:rPr>
                <w:rFonts w:ascii="cambria math" w:hAnsi="cambria math" w:cs="cambria math" w:eastAsia="cambria math"/>
                <w:sz w:val="21"/>
                <w:color w:val="000000"/>
              </w:rPr>
              <w:t>⑪</w:t>
            </w:r>
            <w:r>
              <w:rPr>
                <w:rFonts w:ascii="宋体" w:hAnsi="宋体" w:cs="宋体" w:eastAsia="宋体"/>
                <w:sz w:val="21"/>
                <w:color w:val="000000"/>
              </w:rPr>
              <w:t>灌丛草地面积统计汇总表；</w:t>
            </w:r>
            <w:r>
              <w:rPr>
                <w:rFonts w:ascii="cambria math" w:hAnsi="cambria math" w:cs="cambria math" w:eastAsia="cambria math"/>
                <w:sz w:val="21"/>
                <w:color w:val="000000"/>
              </w:rPr>
              <w:t>⑫</w:t>
            </w:r>
            <w:r>
              <w:rPr>
                <w:rFonts w:ascii="宋体" w:hAnsi="宋体" w:cs="宋体" w:eastAsia="宋体"/>
                <w:sz w:val="21"/>
                <w:color w:val="000000"/>
              </w:rPr>
              <w:t>部分细化地类面积统计汇总表；</w:t>
            </w:r>
            <w:r>
              <w:rPr>
                <w:rFonts w:ascii="cambria math" w:hAnsi="cambria math" w:cs="cambria math" w:eastAsia="cambria math"/>
                <w:sz w:val="21"/>
                <w:color w:val="000000"/>
              </w:rPr>
              <w:t>⑬</w:t>
            </w:r>
            <w:r>
              <w:rPr>
                <w:rFonts w:ascii="宋体" w:hAnsi="宋体" w:cs="宋体" w:eastAsia="宋体"/>
                <w:sz w:val="21"/>
                <w:color w:val="000000"/>
              </w:rPr>
              <w:t>工业用地按类型面积统计汇总表；</w:t>
            </w:r>
            <w:r>
              <w:rPr>
                <w:rFonts w:ascii="cambria math" w:hAnsi="cambria math" w:cs="cambria math" w:eastAsia="cambria math"/>
                <w:sz w:val="21"/>
                <w:color w:val="000000"/>
              </w:rPr>
              <w:t>⑭</w:t>
            </w:r>
            <w:r>
              <w:rPr>
                <w:rFonts w:ascii="宋体" w:hAnsi="宋体" w:cs="宋体" w:eastAsia="宋体"/>
                <w:sz w:val="21"/>
                <w:color w:val="000000"/>
              </w:rPr>
              <w:t>林区范围内园地面积统计汇总表；</w:t>
            </w:r>
            <w:r>
              <w:rPr>
                <w:rFonts w:ascii="cambria math" w:hAnsi="cambria math" w:cs="cambria math" w:eastAsia="cambria math"/>
                <w:sz w:val="21"/>
                <w:color w:val="000000"/>
              </w:rPr>
              <w:t>⑮</w:t>
            </w:r>
            <w:r>
              <w:rPr>
                <w:rFonts w:ascii="宋体" w:hAnsi="宋体" w:cs="宋体" w:eastAsia="宋体"/>
                <w:sz w:val="21"/>
                <w:color w:val="000000"/>
              </w:rPr>
              <w:t>废弃与垃圾填埋面积统计汇总表。</w:t>
            </w:r>
          </w:p>
          <w:p>
            <w:pPr>
              <w:pStyle w:val="null3"/>
              <w:ind w:firstLine="420"/>
              <w:jc w:val="both"/>
            </w:pPr>
            <w:r>
              <w:rPr>
                <w:rFonts w:ascii="宋体" w:hAnsi="宋体" w:cs="宋体" w:eastAsia="宋体"/>
                <w:sz w:val="21"/>
                <w:color w:val="000000"/>
              </w:rPr>
              <w:t>2</w:t>
            </w:r>
            <w:r>
              <w:rPr>
                <w:rFonts w:ascii="宋体" w:hAnsi="宋体" w:cs="宋体" w:eastAsia="宋体"/>
                <w:sz w:val="21"/>
                <w:color w:val="000000"/>
              </w:rPr>
              <w:t>.5</w:t>
            </w:r>
            <w:r>
              <w:rPr>
                <w:rFonts w:ascii="宋体" w:hAnsi="宋体" w:cs="宋体" w:eastAsia="宋体"/>
                <w:sz w:val="21"/>
                <w:color w:val="000000"/>
              </w:rPr>
              <w:t>文字成果要求：国土利用变化情况分析报告。</w:t>
            </w:r>
          </w:p>
          <w:p>
            <w:pPr>
              <w:pStyle w:val="null3"/>
              <w:ind w:firstLine="211"/>
              <w:jc w:val="left"/>
            </w:pPr>
            <w:r>
              <w:rPr>
                <w:rFonts w:ascii="宋体" w:hAnsi="宋体" w:cs="宋体" w:eastAsia="宋体"/>
                <w:sz w:val="21"/>
                <w:b/>
                <w:color w:val="000000"/>
              </w:rPr>
              <w:t>三、质量要求：</w:t>
            </w:r>
          </w:p>
          <w:p>
            <w:pPr>
              <w:pStyle w:val="null3"/>
              <w:ind w:firstLine="420"/>
              <w:jc w:val="left"/>
            </w:pPr>
            <w:r>
              <w:rPr>
                <w:rFonts w:ascii="宋体" w:hAnsi="宋体" w:cs="宋体" w:eastAsia="宋体"/>
                <w:sz w:val="21"/>
                <w:color w:val="000000"/>
              </w:rPr>
              <w:t>3.1</w:t>
            </w:r>
            <w:r>
              <w:rPr>
                <w:rFonts w:ascii="宋体" w:hAnsi="宋体" w:cs="宋体" w:eastAsia="宋体"/>
                <w:sz w:val="21"/>
                <w:color w:val="000000"/>
              </w:rPr>
              <w:t>服务质量：合格</w:t>
            </w:r>
            <w:r>
              <w:rPr>
                <w:rFonts w:ascii="宋体" w:hAnsi="宋体" w:cs="宋体" w:eastAsia="宋体"/>
                <w:sz w:val="21"/>
                <w:color w:val="000000"/>
              </w:rPr>
              <w:t>。</w:t>
            </w:r>
          </w:p>
          <w:p>
            <w:pPr>
              <w:pStyle w:val="null3"/>
              <w:ind w:firstLine="419"/>
              <w:jc w:val="both"/>
            </w:pPr>
            <w:r>
              <w:rPr>
                <w:rFonts w:ascii="宋体" w:hAnsi="宋体" w:cs="宋体" w:eastAsia="宋体"/>
                <w:sz w:val="21"/>
                <w:color w:val="000000"/>
              </w:rPr>
              <w:t>3.2</w:t>
            </w:r>
            <w:r>
              <w:rPr>
                <w:rFonts w:ascii="宋体" w:hAnsi="宋体" w:cs="宋体" w:eastAsia="宋体"/>
                <w:sz w:val="21"/>
                <w:color w:val="000000"/>
              </w:rPr>
              <w:t>服务、产品（如有）执行的标准、规范：</w:t>
            </w:r>
          </w:p>
          <w:p>
            <w:pPr>
              <w:pStyle w:val="null3"/>
              <w:ind w:firstLine="417"/>
              <w:jc w:val="both"/>
            </w:pPr>
            <w:r>
              <w:rPr>
                <w:rFonts w:ascii="宋体" w:hAnsi="宋体" w:cs="宋体" w:eastAsia="宋体"/>
                <w:sz w:val="21"/>
                <w:color w:val="000000"/>
              </w:rPr>
              <w:t>（</w:t>
            </w:r>
            <w:r>
              <w:rPr>
                <w:rFonts w:ascii="宋体" w:hAnsi="宋体" w:cs="宋体" w:eastAsia="宋体"/>
                <w:sz w:val="21"/>
                <w:color w:val="000000"/>
              </w:rPr>
              <w:t>1）国家标准、规范/；</w:t>
            </w:r>
          </w:p>
          <w:p>
            <w:pPr>
              <w:pStyle w:val="null3"/>
              <w:ind w:firstLine="417"/>
              <w:jc w:val="both"/>
            </w:pPr>
            <w:r>
              <w:rPr>
                <w:rFonts w:ascii="宋体" w:hAnsi="宋体" w:cs="宋体" w:eastAsia="宋体"/>
                <w:sz w:val="21"/>
                <w:color w:val="000000"/>
              </w:rPr>
              <w:t>（</w:t>
            </w:r>
            <w:r>
              <w:rPr>
                <w:rFonts w:ascii="宋体" w:hAnsi="宋体" w:cs="宋体" w:eastAsia="宋体"/>
                <w:sz w:val="21"/>
                <w:color w:val="000000"/>
              </w:rPr>
              <w:t>2）行业标准、规范/；</w:t>
            </w:r>
          </w:p>
          <w:p>
            <w:pPr>
              <w:pStyle w:val="null3"/>
              <w:ind w:firstLine="417"/>
              <w:jc w:val="both"/>
            </w:pPr>
            <w:r>
              <w:rPr>
                <w:rFonts w:ascii="宋体" w:hAnsi="宋体" w:cs="宋体" w:eastAsia="宋体"/>
                <w:sz w:val="21"/>
                <w:color w:val="000000"/>
              </w:rPr>
              <w:t>（</w:t>
            </w:r>
            <w:r>
              <w:rPr>
                <w:rFonts w:ascii="宋体" w:hAnsi="宋体" w:cs="宋体" w:eastAsia="宋体"/>
                <w:sz w:val="21"/>
                <w:color w:val="000000"/>
              </w:rPr>
              <w:t>3）地方标准、规范/；</w:t>
            </w:r>
          </w:p>
          <w:p>
            <w:pPr>
              <w:pStyle w:val="null3"/>
              <w:ind w:firstLine="417"/>
              <w:jc w:val="both"/>
            </w:pPr>
            <w:r>
              <w:rPr>
                <w:rFonts w:ascii="宋体" w:hAnsi="宋体" w:cs="宋体" w:eastAsia="宋体"/>
                <w:sz w:val="21"/>
                <w:color w:val="000000"/>
              </w:rPr>
              <w:t>（</w:t>
            </w:r>
            <w:r>
              <w:rPr>
                <w:rFonts w:ascii="宋体" w:hAnsi="宋体" w:cs="宋体" w:eastAsia="宋体"/>
                <w:sz w:val="21"/>
                <w:color w:val="000000"/>
              </w:rPr>
              <w:t>4）团体标准、规范/；</w:t>
            </w:r>
          </w:p>
          <w:p>
            <w:pPr>
              <w:pStyle w:val="null3"/>
              <w:ind w:firstLine="417"/>
              <w:jc w:val="both"/>
            </w:pPr>
            <w:r>
              <w:rPr>
                <w:rFonts w:ascii="宋体" w:hAnsi="宋体" w:cs="宋体" w:eastAsia="宋体"/>
                <w:sz w:val="21"/>
                <w:color w:val="000000"/>
              </w:rPr>
              <w:t>（</w:t>
            </w:r>
            <w:r>
              <w:rPr>
                <w:rFonts w:ascii="宋体" w:hAnsi="宋体" w:cs="宋体" w:eastAsia="宋体"/>
                <w:sz w:val="21"/>
                <w:color w:val="000000"/>
              </w:rPr>
              <w:t>5）企业标准、规范/。</w:t>
            </w:r>
          </w:p>
          <w:p>
            <w:pPr>
              <w:pStyle w:val="null3"/>
              <w:ind w:firstLine="419"/>
              <w:jc w:val="both"/>
            </w:pPr>
            <w:r>
              <w:rPr>
                <w:rFonts w:ascii="宋体" w:hAnsi="宋体" w:cs="宋体" w:eastAsia="宋体"/>
                <w:sz w:val="21"/>
                <w:color w:val="000000"/>
              </w:rPr>
              <w:t>3.3</w:t>
            </w:r>
            <w:r>
              <w:rPr>
                <w:rFonts w:ascii="宋体" w:hAnsi="宋体" w:cs="宋体" w:eastAsia="宋体"/>
                <w:sz w:val="21"/>
                <w:color w:val="000000"/>
              </w:rPr>
              <w:t>本章</w:t>
            </w:r>
            <w:r>
              <w:rPr>
                <w:rFonts w:ascii="宋体" w:hAnsi="宋体" w:cs="宋体" w:eastAsia="宋体"/>
                <w:sz w:val="21"/>
                <w:color w:val="000000"/>
              </w:rPr>
              <w:t>3.2</w:t>
            </w:r>
            <w:r>
              <w:rPr>
                <w:rFonts w:ascii="宋体" w:hAnsi="宋体" w:cs="宋体" w:eastAsia="宋体"/>
                <w:sz w:val="21"/>
                <w:color w:val="000000"/>
              </w:rPr>
              <w:t>款未明确服务（产品）执行标准、规范的，按下列方法进行选择：</w:t>
            </w:r>
          </w:p>
          <w:p>
            <w:pPr>
              <w:pStyle w:val="null3"/>
              <w:ind w:firstLine="419"/>
              <w:jc w:val="both"/>
            </w:pPr>
            <w:r>
              <w:rPr>
                <w:rFonts w:ascii="宋体" w:hAnsi="宋体" w:cs="宋体" w:eastAsia="宋体"/>
                <w:sz w:val="21"/>
                <w:color w:val="000000"/>
              </w:rPr>
              <w:t>□顺序执行：国家标准→行业标准→地方标准→团体标准→企业标准（有国家标准按国家标准执行，没有国家标准按行业标准，以此类推）；</w:t>
            </w:r>
          </w:p>
          <w:p>
            <w:pPr>
              <w:pStyle w:val="null3"/>
              <w:ind w:firstLine="419"/>
              <w:jc w:val="both"/>
            </w:pPr>
            <w:r>
              <w:rPr>
                <w:rFonts w:ascii="宋体" w:hAnsi="宋体" w:cs="宋体" w:eastAsia="宋体"/>
                <w:sz w:val="21"/>
                <w:color w:val="000000"/>
              </w:rPr>
              <w:t>□最高标准执行：国家标准，行业标准，地方标准，团体标准，企业标准（哪个标准高执行哪个标准）；</w:t>
            </w:r>
          </w:p>
          <w:p>
            <w:pPr>
              <w:pStyle w:val="null3"/>
              <w:ind w:firstLine="420"/>
              <w:jc w:val="both"/>
            </w:pPr>
            <w:r>
              <w:rPr>
                <w:rFonts w:ascii="segoe ui symbol" w:hAnsi="segoe ui symbol" w:cs="segoe ui symbol" w:eastAsia="segoe ui symbol"/>
                <w:sz w:val="21"/>
                <w:color w:val="000000"/>
              </w:rPr>
              <w:t>☑</w:t>
            </w:r>
            <w:r>
              <w:rPr>
                <w:rFonts w:ascii="宋体" w:hAnsi="宋体" w:cs="宋体" w:eastAsia="宋体"/>
                <w:sz w:val="21"/>
                <w:color w:val="000000"/>
              </w:rPr>
              <w:t>必须执行：国家（行业）强制性标准。</w:t>
            </w:r>
          </w:p>
        </w:tc>
      </w:tr>
    </w:tbl>
    <w:p>
      <w:pPr>
        <w:pStyle w:val="null3"/>
        <w:outlineLvl w:val="2"/>
      </w:pPr>
      <w:r>
        <w:rPr>
          <w:sz w:val="28"/>
          <w:b/>
        </w:rPr>
        <w:t>3.2.3人员配置要求</w:t>
      </w:r>
    </w:p>
    <w:p>
      <w:pPr>
        <w:pStyle w:val="null3"/>
      </w:pPr>
      <w:r>
        <w:rPr/>
        <w:t>采购包1：</w:t>
      </w:r>
    </w:p>
    <w:p>
      <w:pPr>
        <w:pStyle w:val="null3"/>
      </w:pPr>
      <w:r>
        <w:rPr/>
        <w:t>服务方按项目服务要求及特性，自行组织项目实施与管理，建立以项目负责人为核心的服务团队，实行项目负责人责任制，相关人员经过严格培训，能够胜任项目工作，保证项目顺利实施。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sz w:val="28"/>
          <w:b/>
        </w:rPr>
        <w:t>3.2.4设施设备要求</w:t>
      </w:r>
    </w:p>
    <w:p>
      <w:pPr>
        <w:pStyle w:val="null3"/>
      </w:pPr>
      <w:r>
        <w:rPr/>
        <w:t>采购包1：</w:t>
      </w:r>
    </w:p>
    <w:p>
      <w:pPr>
        <w:pStyle w:val="null3"/>
      </w:pPr>
      <w:r>
        <w:rPr/>
        <w:t>服务方根据项目特性，自行配置投入有利于完成本项目服务各类设施设备（包含但不限于专业设备、辅助设备、工具、软件等）。</w:t>
      </w:r>
    </w:p>
    <w:p>
      <w:pPr>
        <w:pStyle w:val="null3"/>
        <w:outlineLvl w:val="2"/>
      </w:pPr>
      <w:r>
        <w:rPr>
          <w:sz w:val="28"/>
          <w:b/>
        </w:rPr>
        <w:t>3.2.5其他要求</w:t>
      </w:r>
    </w:p>
    <w:p>
      <w:pPr>
        <w:pStyle w:val="null3"/>
      </w:pPr>
      <w:r>
        <w:rPr/>
        <w:t>采购包1：</w:t>
      </w:r>
    </w:p>
    <w:p>
      <w:pPr>
        <w:pStyle w:val="null3"/>
      </w:pPr>
      <w:r>
        <w:rPr/>
        <w:t>（1）服务方须指派专属负责人与采购人联系服务事宜； （2）服务响应时间应根据采购人实际安排随时调整； （3）所有服务方式均为服务方上门服务，即由服务方派员到服务现场，由此产生的一切费用均由服务方承担。 （4）现场具备服务条件，材料、设备、服务方案等全部由服务方自行制定、本项目实行包工包料、包组织、包服务； （5）服务方需根据服务实际情况编制服务方案，服务计划、服务进度安排等方案措施； （6）服务方在本服务项目中的负责人，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负责人及服务队伍。 （7）服务过程中，严格遵守各种管理规定及规章制度，做到安全文明；如发生工伤及意外事故由服务方单位负责； （8）服务方派遣的服务人员对于在工作中获悉的一切政府工作的信息应严格保守秘密，不得泄露；对于违反者，给采购人单位造成不良社会影响的，或给采购人单位造成损失的，由服务方承担赔偿责任； （9）严格按照国家、陕西省有关规定及采购人要求进行服务，不得随意更改或者变换服务内容，每项服务内容实施前应事先取得采购人的落实后方可实施。</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自合同签订生效之日起至2024年12月31日前保质保量完成所有工作任务</w:t>
      </w:r>
    </w:p>
    <w:p>
      <w:pPr>
        <w:pStyle w:val="null3"/>
        <w:outlineLvl w:val="3"/>
      </w:pPr>
      <w:r>
        <w:rPr>
          <w:sz w:val="24"/>
          <w:b/>
        </w:rPr>
        <w:t>3.3.2服务地点</w:t>
      </w:r>
    </w:p>
    <w:p>
      <w:pPr>
        <w:pStyle w:val="null3"/>
      </w:pPr>
      <w:r>
        <w:rPr/>
        <w:t>采购包1：</w:t>
      </w:r>
    </w:p>
    <w:p>
      <w:pPr>
        <w:pStyle w:val="null3"/>
      </w:pPr>
      <w:r>
        <w:rPr/>
        <w:t>雁塔区自管区范围内（具体按采购人指定地点）</w:t>
      </w:r>
    </w:p>
    <w:p>
      <w:pPr>
        <w:pStyle w:val="null3"/>
        <w:outlineLvl w:val="3"/>
      </w:pPr>
      <w:r>
        <w:rPr>
          <w:sz w:val="24"/>
          <w:b/>
        </w:rPr>
        <w:t>3.3.3考核（验收）标准和方法</w:t>
      </w:r>
    </w:p>
    <w:p>
      <w:pPr>
        <w:pStyle w:val="null3"/>
      </w:pPr>
      <w:r>
        <w:rPr/>
        <w:t>采购包1：</w:t>
      </w:r>
    </w:p>
    <w:p>
      <w:pPr>
        <w:pStyle w:val="null3"/>
      </w:pPr>
      <w:r>
        <w:rPr/>
        <w:t>采购人单位根据有关规范规定，不定期对服务方的进行检查或考核，服务方须无条件的接受采购人的各类考核或检查；若审查不通过或质量不合格，服务方应在一定期限进行整改完善，以采购人要求的标准提供合格服务；若服务方在接受检查整改后，仍不能提供符合采购要求的合格服务，采购人有权按违约予以撤项。</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合同签订生效后，服务方开始服务，一个月后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服务期满，全部服务内容完成，经采购人验收合格，且双方无异议</w:t>
      </w:r>
      <w:r>
        <w:rPr/>
        <w:t xml:space="preserve"> ，达到付款条件起 </w:t>
      </w:r>
      <w:r>
        <w:rPr/>
        <w:t>7</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详见合同条款</w:t>
      </w:r>
    </w:p>
    <w:p>
      <w:pPr>
        <w:pStyle w:val="null3"/>
        <w:outlineLvl w:val="2"/>
      </w:pPr>
      <w:r>
        <w:rPr>
          <w:sz w:val="28"/>
          <w:b/>
        </w:rPr>
        <w:t>3.4其他要求</w:t>
      </w:r>
    </w:p>
    <w:p>
      <w:pPr>
        <w:pStyle w:val="null3"/>
      </w:pPr>
      <w:r>
        <w:rPr/>
        <w:t>一、供应商的磋商报价是供应商响应磋商项目要求的全部工作内容的价格体现，包括供应商完成本项目所需的直接费、间接费、利润、税金及其它相关的一切费用；包括但不限于：人工费、维护费、设备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莲湖区丰登南路9号怡景花园酒店A座2层招标一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供应商需在项目电子化交易系统中按要求填写《响应函》完成承诺并进行电子签章,并按磋商文件中的附件“资格证明文件”格式要求提供相关证明资料。</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年度经审计的供应商财务会计报告（包括审计报告、资产负债表、利润表、现金流量表、所有者权益变动表及其附注，成立时间至提交响应文件截止时间不足1年的可提供成立后任意时段的资产负债表）或其提交响应文件截止时间前3个月其基本账户开户银行出具的资信证明（附基本存款账户信息）；供应商需在项目电子化交易系统中按磋商文件中的附件“资格证明文件”格式要求上传相关证明资料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本项目专门面向专门面向中小企业采购，承接服务的供应商应为中小企业或者微型企业或者为残疾人福利性单位或者为监狱企业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供应商需具备行政主管部门颁发的《测绘资质证书乙级》及以上资质（专业范围包含：摄影测量与遥感、地理信息系统工程）</w:t>
            </w:r>
          </w:p>
        </w:tc>
        <w:tc>
          <w:tcPr>
            <w:tcW w:type="dxa" w:w="3322"/>
          </w:tcPr>
          <w:p>
            <w:pPr>
              <w:pStyle w:val="null3"/>
            </w:pPr>
            <w:r>
              <w:rPr/>
              <w:t>供应商需具备行政主管部门颁发的《测绘资质证书乙级》及以上资质（专业范围包含：摄影测量与遥感、地理信息系统工程）</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拟派项目负责人需具备测绘类工程师及以上职称或者注册测绘师证书</w:t>
            </w:r>
          </w:p>
        </w:tc>
        <w:tc>
          <w:tcPr>
            <w:tcW w:type="dxa" w:w="3322"/>
          </w:tcPr>
          <w:p>
            <w:pPr>
              <w:pStyle w:val="null3"/>
            </w:pPr>
            <w:r>
              <w:rPr/>
              <w:t>拟派项目负责人需具备测绘类工程师及以上职称或者注册测绘师证书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商务、技术文件 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符合磋商文件有关签署、盖章要求（不得因遗漏或瑕疵等签署或盖章问题限制和影响供应商响应）</w:t>
            </w:r>
          </w:p>
        </w:tc>
        <w:tc>
          <w:tcPr>
            <w:tcW w:type="dxa" w:w="1661"/>
          </w:tcPr>
          <w:p>
            <w:pPr>
              <w:pStyle w:val="null3"/>
            </w:pPr>
            <w:r>
              <w:rPr/>
              <w:t>响应文件封面 资格证明文件 中小企业声明函 残疾人福利性单位声明函 商务、技术文件 标的清单 报价表 响应函 监狱企业的证明文件</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符合“响应文件格式”要求（不得因文件排序等非实质性的格式、形式问题限制和影响供应商响应)</w:t>
            </w:r>
          </w:p>
        </w:tc>
        <w:tc>
          <w:tcPr>
            <w:tcW w:type="dxa" w:w="1661"/>
          </w:tcPr>
          <w:p>
            <w:pPr>
              <w:pStyle w:val="null3"/>
            </w:pPr>
            <w:r>
              <w:rPr/>
              <w:t>商务、技术文件 标的清单 报价表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商务、技术文件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t>资格证明文件 商务、技术文件</w:t>
            </w:r>
          </w:p>
        </w:tc>
      </w:tr>
      <w:tr>
        <w:tc>
          <w:tcPr>
            <w:tcW w:type="dxa" w:w="831"/>
          </w:tcPr>
          <w:p>
            <w:pPr>
              <w:pStyle w:val="null3"/>
            </w:pPr>
            <w:r>
              <w:rPr/>
              <w:t>6</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资格证明文件 中小企业声明函 残疾人福利性单位声明函 商务、技术文件 标的清单 报价表 响应函 监狱企业的证明文件</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符合磋商文件中规定的服务期限</w:t>
            </w:r>
          </w:p>
        </w:tc>
        <w:tc>
          <w:tcPr>
            <w:tcW w:type="dxa" w:w="1661"/>
          </w:tcPr>
          <w:p>
            <w:pPr>
              <w:pStyle w:val="null3"/>
            </w:pPr>
            <w:r>
              <w:rPr/>
              <w:t>商务、技术文件 标的清单 报价表</w:t>
            </w:r>
          </w:p>
        </w:tc>
      </w:tr>
      <w:tr>
        <w:tc>
          <w:tcPr>
            <w:tcW w:type="dxa" w:w="831"/>
          </w:tcPr>
          <w:p>
            <w:pPr>
              <w:pStyle w:val="null3"/>
            </w:pPr>
            <w:r>
              <w:rPr/>
              <w:t>8</w:t>
            </w:r>
          </w:p>
        </w:tc>
        <w:tc>
          <w:tcPr>
            <w:tcW w:type="dxa" w:w="2492"/>
          </w:tcPr>
          <w:p>
            <w:pPr>
              <w:pStyle w:val="null3"/>
            </w:pPr>
            <w:r>
              <w:rPr/>
              <w:t>对磋商文件响应程度</w:t>
            </w:r>
          </w:p>
        </w:tc>
        <w:tc>
          <w:tcPr>
            <w:tcW w:type="dxa" w:w="3322"/>
          </w:tcPr>
          <w:p>
            <w:pPr>
              <w:pStyle w:val="null3"/>
            </w:pPr>
            <w:r>
              <w:rPr/>
              <w:t>全面响应磋商文件中的实质性要求，且未含有采购人不能接受的附加条件</w:t>
            </w:r>
          </w:p>
        </w:tc>
        <w:tc>
          <w:tcPr>
            <w:tcW w:type="dxa" w:w="1661"/>
          </w:tcPr>
          <w:p>
            <w:pPr>
              <w:pStyle w:val="null3"/>
            </w:pPr>
            <w:r>
              <w:rPr/>
              <w:t>商务、技术文件</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符合磋商文件中规定的有效期限</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本项目的理解程度，包含有①对项目的背景和工作目的理解、②明确的工作目标、③切实可行的技术服务方案、④收集资料数据的真实性及可靠性保障措施、⑤相关资料的接收及资料、成果文件的移交方案等。 单项方案内容详细、科学合理、可行性强得3分； 单项方案较为清晰合理,内容基本完整,基本可行得2分； 单项方案不清晰不合理,内容不完整,可行性差得1分； 未提供单项服务方案或单项服务方案完全脱离项目实际的不得分。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重点、难点分析</w:t>
            </w:r>
          </w:p>
        </w:tc>
        <w:tc>
          <w:tcPr>
            <w:tcW w:type="dxa" w:w="2492"/>
          </w:tcPr>
          <w:p>
            <w:pPr>
              <w:pStyle w:val="null3"/>
            </w:pPr>
            <w:r>
              <w:rPr/>
              <w:t>针对本项目采购需求涉及的重点、难点等关键问题罗列清楚，并有相应的技术策略及解决方案； 难点、重点描述说明与实际情况符合、描述详尽、并且有对应的解决措施对策，解决对策针对性强、科学合理、可行的得7分； 难点、重点描述与实际情况较符合、描述较详细、但只有部分问题有解决对策的5分； 难点、重点描述描述与实际情况符合程度一般、发现的问题简单且缺少解决对策的得3分； 未提供或重点难点分析脱离项目实际的得0分。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实施方案</w:t>
            </w:r>
          </w:p>
        </w:tc>
        <w:tc>
          <w:tcPr>
            <w:tcW w:type="dxa" w:w="2492"/>
          </w:tcPr>
          <w:p>
            <w:pPr>
              <w:pStyle w:val="null3"/>
            </w:pPr>
            <w:r>
              <w:rPr/>
              <w:t>结合项目实际情况，制定切实可行的实施方案、实施步骤、实施方法及工作安排等； 实施方案科学合理、针对性强、步骤清晰，可操作性及可行性强的得10分 实施方案较为合理、针对性较好、步骤清晰，可操作及可行性良好、能满足基本采购所需的得8分。 实施方案不全面、针对性一般、步骤较清晰、缺少关键点、可操作及可行性一般、较能满足基本采购所需的得6分。 实施方案简单、无针对性，步骤不清晰，可操作及可行性较差，不能满足采购所需的得3分。 未提供实施方案或实施方案完全脱离实际的不得分。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人员配备</w:t>
            </w:r>
          </w:p>
        </w:tc>
        <w:tc>
          <w:tcPr>
            <w:tcW w:type="dxa" w:w="2492"/>
          </w:tcPr>
          <w:p>
            <w:pPr>
              <w:pStyle w:val="null3"/>
            </w:pPr>
            <w:r>
              <w:rPr/>
              <w:t>（1）针对拟投入本项目的服务人员配置合理、职责明确、分工清晰合理、相关人员经过严格培训、有相应的工作经验等有详细的描述和相关（包括但不限于执业证、劳动合同、从业证明、资格证书等）证明材料； 拟派配人员配备合理、人员数量充足、职责明确、分工清晰、工作经历丰富、能够完全满足采购所需的得6分； 拟派人员配备较为合理、人员数量一般、职责、分工一般、缺少部分工作经历、勉强能满足基本采购所需的得4分； 拟派人员配备不合理且有欠缺、人员数量无保证、职责、分工不明确、工作经历较少、不能够满足采购所需的得2分； 未提供人员配备方案或完全脱离项目实际的得0分。 （2）拟派项目负责人具有测绘类相关专业高级职称及以上职称的得1分； 注:提供人员职称证复印件，否则不得分。 （3）拟派技术负责人具有测绘类相关专业高级职称及以上职称的得1分； 注:提供人员职称证复印件，否则不得分。 （4）拟投入本项目的其他人员（除项目负责人和技术负责人以外）中具有相关专业（包含但不限于测绘、土地管理、规划、地理信息系统等）中级及以上工程师职称的，每提供1个计0.5分，最多得2分。 注:提供人员职称证复印件，否则不得分。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管理措施及制度</w:t>
            </w:r>
          </w:p>
        </w:tc>
        <w:tc>
          <w:tcPr>
            <w:tcW w:type="dxa" w:w="2492"/>
          </w:tcPr>
          <w:p>
            <w:pPr>
              <w:pStyle w:val="null3"/>
            </w:pPr>
            <w:r>
              <w:rPr/>
              <w:t>针对本项目拟定的各岗位管理制度、自查制度、内控制度、工作质量标准、奖惩考核机制等有明确方案措施。 管理措施及制度完整全面、科学合理、针对性强、可操作及可行性高，完全满足采购要求的得10分； 管理措施及制度较为全面、科学合理性较好、针对性较好，可操作及可行性良好，能满足采购基本所需的得8分。 管理措施及制度不全面、科学合理性一般、针对性一般、可操作及可行性一般、缺少部分关键点，不能完全满足基本采购所需的得6分。 管理措施及制度简单、无科学合理性、无针对性、可操作及可行性较差，不能满足采购所需的得3分。 未提供管理措施及制度或管理措施及制度完全脱离采购实际的不得分。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进度计划安排</w:t>
            </w:r>
          </w:p>
        </w:tc>
        <w:tc>
          <w:tcPr>
            <w:tcW w:type="dxa" w:w="2492"/>
          </w:tcPr>
          <w:p>
            <w:pPr>
              <w:pStyle w:val="null3"/>
            </w:pPr>
            <w:r>
              <w:rPr/>
              <w:t>根据服务响应时效要求，制定详细可行的服务响应时效执行方案。 进度方案详细、层级明确清晰，响应时间满足采购要求、具体措施针对性强且科学可行的得7分； 进度方案内容一般、层级基本明确清晰，响应时间满足采购要求、具体措施有针对性且有一定的可行性的得5分； 进度方案内容简单、层级不明确，响应时间满足采购要求、具体措施针对性差且可行性低的得3分； 未提供进度方案或进度方案脱离实际的不得分。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服务质量保障</w:t>
            </w:r>
          </w:p>
        </w:tc>
        <w:tc>
          <w:tcPr>
            <w:tcW w:type="dxa" w:w="2492"/>
          </w:tcPr>
          <w:p>
            <w:pPr>
              <w:pStyle w:val="null3"/>
            </w:pPr>
            <w:r>
              <w:rPr/>
              <w:t>针对本项目服务有服务质量保障措施或相关承诺，包括但不限于项目服务时间、服务质量、服务人员到位情况等有实质性方案措施或相关承诺； 服务质量保障措施或相关承诺完整详细、科学合理，能保质保量按时完成、人员及时到位，响应及时有保障的得7分； 服务质量保障措施或相关承诺较为完整详细、较为科学合理，完成时间和完成质量较为勉强、人员到位较为及时，较为勉强的得5分； 服务质量保障措施或相关承诺存在缺陷，完成时间和完成质量无法保证，人员无法及时到位，服务无保障的得3分； 未提供服务质量保障措施或完全脱离项目实际的不得分。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合理化建议</w:t>
            </w:r>
          </w:p>
        </w:tc>
        <w:tc>
          <w:tcPr>
            <w:tcW w:type="dxa" w:w="2492"/>
          </w:tcPr>
          <w:p>
            <w:pPr>
              <w:pStyle w:val="null3"/>
            </w:pPr>
            <w:r>
              <w:rPr/>
              <w:t>根据对本项目理解程度提出有利于采购人或项目实施的合理化建议； 合理化建议内容明确合理、科学可行性且完全有利于采购项目顺利实施的得7分 合理化建议内容有部分阐述不明确、可行性较强、不能完全有利于项目实施的得5分； 合理化建议内容中有较多缺失或内容笼统、欠缺针对性的得3分。 合提供合理化建议或合理化建议完全脱离项目实际的不得分。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数据保密与安全措施</w:t>
            </w:r>
          </w:p>
        </w:tc>
        <w:tc>
          <w:tcPr>
            <w:tcW w:type="dxa" w:w="2492"/>
          </w:tcPr>
          <w:p>
            <w:pPr>
              <w:pStyle w:val="null3"/>
            </w:pPr>
            <w:r>
              <w:rPr/>
              <w:t>针对本项目有严格的保密与安全措施； 保密与安全措施完善，针对性强、成熟具体的得7分； 保密与安全措施较为完善、针对性较好、较为成熟具体的5分； 保密与安全措施方案简单、可行性低、不够具体的得3分； 未提供保密与安全措施或保密与安全措施完全脱离实际的不得分。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业绩</w:t>
            </w:r>
          </w:p>
        </w:tc>
        <w:tc>
          <w:tcPr>
            <w:tcW w:type="dxa" w:w="2492"/>
          </w:tcPr>
          <w:p>
            <w:pPr>
              <w:pStyle w:val="null3"/>
            </w:pPr>
            <w:r>
              <w:rPr/>
              <w:t xml:space="preserve"> 具有2021年1月1日起至今的类似项目业绩，业绩以合同扫描件（复印件）为依据；每提供1个业绩合同得2分，最多得10分。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详见附件：商务、技术文件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