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64" w:line="222" w:lineRule="auto"/>
        <w:ind w:left="3389"/>
        <w:outlineLvl w:val="0"/>
        <w:rPr>
          <w:sz w:val="32"/>
          <w:szCs w:val="32"/>
        </w:rPr>
      </w:pPr>
      <w:r>
        <w:rPr>
          <w:spacing w:val="-7"/>
          <w:sz w:val="32"/>
          <w:szCs w:val="32"/>
        </w:rPr>
        <w:t>拟签订合同文本</w:t>
      </w:r>
    </w:p>
    <w:p>
      <w:pPr>
        <w:pStyle w:val="2"/>
        <w:spacing w:before="161" w:line="213" w:lineRule="auto"/>
        <w:ind w:left="69"/>
      </w:pPr>
      <w:r>
        <w:rPr>
          <w:spacing w:val="-18"/>
        </w:rPr>
        <w:t>(注：本合同文本未尽事宜由采购人和成交人在签订时协商确定，可在签订合同时</w:t>
      </w:r>
    </w:p>
    <w:p>
      <w:pPr>
        <w:pStyle w:val="2"/>
        <w:spacing w:before="11" w:line="213" w:lineRule="auto"/>
        <w:ind w:left="89"/>
      </w:pPr>
      <w:r>
        <w:rPr>
          <w:spacing w:val="-16"/>
        </w:rPr>
        <w:t>对合同的相关条款及内容做进一步的细化和修改，但不得改变谈判文件、谈判响</w:t>
      </w:r>
    </w:p>
    <w:p>
      <w:pPr>
        <w:pStyle w:val="2"/>
        <w:spacing w:before="22" w:line="222" w:lineRule="auto"/>
        <w:ind w:left="2149"/>
      </w:pPr>
      <w:r>
        <w:rPr>
          <w:spacing w:val="-16"/>
        </w:rPr>
        <w:t>应文件、成交通知书里的实质性内容。)</w:t>
      </w:r>
    </w:p>
    <w:p>
      <w:pPr>
        <w:spacing w:line="308" w:lineRule="auto"/>
        <w:rPr>
          <w:rFonts w:ascii="Arial"/>
          <w:sz w:val="21"/>
        </w:rPr>
      </w:pPr>
    </w:p>
    <w:p>
      <w:pPr>
        <w:pStyle w:val="2"/>
        <w:spacing w:before="81" w:line="223" w:lineRule="auto"/>
      </w:pPr>
      <w:r>
        <w:rPr>
          <w:spacing w:val="-6"/>
        </w:rPr>
        <w:t>签订地点：</w:t>
      </w:r>
      <w:r>
        <w:rPr>
          <w:spacing w:val="17"/>
        </w:rPr>
        <w:t xml:space="preserve">      </w:t>
      </w:r>
      <w:r>
        <w:rPr>
          <w:spacing w:val="-6"/>
        </w:rPr>
        <w:t>签订时间：</w:t>
      </w:r>
    </w:p>
    <w:p>
      <w:pPr>
        <w:pStyle w:val="2"/>
        <w:spacing w:before="115" w:line="221" w:lineRule="auto"/>
      </w:pPr>
      <w:r>
        <w:rPr>
          <w:spacing w:val="12"/>
        </w:rPr>
        <w:t>采购人(甲方):</w:t>
      </w:r>
    </w:p>
    <w:p>
      <w:pPr>
        <w:pStyle w:val="2"/>
        <w:spacing w:before="121" w:line="231" w:lineRule="auto"/>
      </w:pPr>
      <w:r>
        <w:rPr>
          <w:spacing w:val="-1"/>
        </w:rPr>
        <w:t>供应商(乙方)</w:t>
      </w:r>
      <w:r>
        <w:rPr>
          <w:spacing w:val="12"/>
        </w:rPr>
        <w:t xml:space="preserve">       </w:t>
      </w:r>
      <w:r>
        <w:rPr>
          <w:spacing w:val="-1"/>
          <w:position w:val="-1"/>
        </w:rPr>
        <w:t>(成交人)</w:t>
      </w:r>
    </w:p>
    <w:p>
      <w:pPr>
        <w:pStyle w:val="2"/>
        <w:spacing w:before="107" w:line="313" w:lineRule="auto"/>
        <w:ind w:right="317" w:firstLine="470"/>
        <w:jc w:val="both"/>
      </w:pPr>
      <w:r>
        <w:rPr>
          <w:spacing w:val="-5"/>
        </w:rPr>
        <w:t>根据《中华人民共和国政府采购法》及实施条例、《中华人民共和国民法</w:t>
      </w:r>
      <w:r>
        <w:rPr>
          <w:spacing w:val="18"/>
        </w:rPr>
        <w:t xml:space="preserve"> </w:t>
      </w:r>
      <w:r>
        <w:rPr>
          <w:spacing w:val="-4"/>
        </w:rPr>
        <w:t>典》和甲方(项目名称)(项目编号：    )的谈判文</w:t>
      </w:r>
      <w:r>
        <w:rPr>
          <w:spacing w:val="-5"/>
        </w:rPr>
        <w:t>件、谈判响应文件等有关规</w:t>
      </w:r>
      <w:r>
        <w:t xml:space="preserve"> </w:t>
      </w:r>
      <w:r>
        <w:rPr>
          <w:spacing w:val="-5"/>
        </w:rPr>
        <w:t>定，为确保甲方采购项目的顺利实施，甲、乙双方在平</w:t>
      </w:r>
      <w:r>
        <w:rPr>
          <w:spacing w:val="-6"/>
        </w:rPr>
        <w:t>等自愿原则下签订本合</w:t>
      </w:r>
      <w:r>
        <w:t xml:space="preserve"> </w:t>
      </w:r>
      <w:r>
        <w:rPr>
          <w:spacing w:val="-16"/>
        </w:rPr>
        <w:t>同，并共同遵守如下条款：</w:t>
      </w:r>
    </w:p>
    <w:p>
      <w:pPr>
        <w:pStyle w:val="2"/>
        <w:spacing w:before="56" w:line="222" w:lineRule="auto"/>
      </w:pPr>
      <w:r>
        <w:rPr>
          <w:spacing w:val="-14"/>
        </w:rPr>
        <w:t>第一条合同标的及数量</w:t>
      </w:r>
    </w:p>
    <w:tbl>
      <w:tblPr>
        <w:tblStyle w:val="6"/>
        <w:tblpPr w:leftFromText="180" w:rightFromText="180" w:vertAnchor="text" w:horzAnchor="page" w:tblpX="1368" w:tblpY="1389"/>
        <w:tblOverlap w:val="never"/>
        <w:tblW w:w="943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55"/>
        <w:gridCol w:w="1046"/>
        <w:gridCol w:w="980"/>
        <w:gridCol w:w="843"/>
        <w:gridCol w:w="1068"/>
        <w:gridCol w:w="1494"/>
        <w:gridCol w:w="660"/>
        <w:gridCol w:w="678"/>
        <w:gridCol w:w="607"/>
        <w:gridCol w:w="607"/>
        <w:gridCol w:w="8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49" w:hRule="atLeast"/>
        </w:trPr>
        <w:tc>
          <w:tcPr>
            <w:tcW w:w="555" w:type="dxa"/>
            <w:vAlign w:val="center"/>
          </w:tcPr>
          <w:p>
            <w:pPr>
              <w:spacing w:before="78" w:line="221" w:lineRule="auto"/>
              <w:jc w:val="center"/>
              <w:rPr>
                <w:rFonts w:ascii="宋体" w:hAnsi="宋体" w:eastAsia="宋体" w:cs="宋体"/>
                <w:sz w:val="24"/>
                <w:szCs w:val="24"/>
              </w:rPr>
            </w:pPr>
            <w:r>
              <w:rPr>
                <w:rFonts w:ascii="宋体" w:hAnsi="宋体" w:eastAsia="宋体" w:cs="宋体"/>
                <w:spacing w:val="7"/>
                <w:sz w:val="24"/>
                <w:szCs w:val="24"/>
              </w:rPr>
              <w:t>序号</w:t>
            </w:r>
          </w:p>
        </w:tc>
        <w:tc>
          <w:tcPr>
            <w:tcW w:w="1046" w:type="dxa"/>
            <w:vAlign w:val="center"/>
          </w:tcPr>
          <w:p>
            <w:pPr>
              <w:spacing w:before="78" w:line="221" w:lineRule="auto"/>
              <w:jc w:val="center"/>
              <w:rPr>
                <w:rFonts w:ascii="宋体" w:hAnsi="宋体" w:eastAsia="宋体" w:cs="宋体"/>
                <w:sz w:val="24"/>
                <w:szCs w:val="24"/>
              </w:rPr>
            </w:pPr>
            <w:r>
              <w:rPr>
                <w:rFonts w:hint="eastAsia" w:ascii="宋体" w:hAnsi="宋体" w:eastAsia="宋体" w:cs="宋体"/>
                <w:spacing w:val="6"/>
                <w:sz w:val="24"/>
                <w:szCs w:val="24"/>
                <w:lang w:val="en-US" w:eastAsia="zh-CN"/>
              </w:rPr>
              <w:t>产品</w:t>
            </w:r>
            <w:r>
              <w:rPr>
                <w:rFonts w:ascii="宋体" w:hAnsi="宋体" w:eastAsia="宋体" w:cs="宋体"/>
                <w:spacing w:val="6"/>
                <w:sz w:val="24"/>
                <w:szCs w:val="24"/>
              </w:rPr>
              <w:t>名称</w:t>
            </w:r>
          </w:p>
        </w:tc>
        <w:tc>
          <w:tcPr>
            <w:tcW w:w="980" w:type="dxa"/>
            <w:vAlign w:val="center"/>
          </w:tcPr>
          <w:p>
            <w:pPr>
              <w:spacing w:before="78" w:line="219" w:lineRule="auto"/>
              <w:jc w:val="center"/>
              <w:rPr>
                <w:rFonts w:ascii="宋体" w:hAnsi="宋体" w:eastAsia="宋体" w:cs="宋体"/>
                <w:sz w:val="24"/>
                <w:szCs w:val="24"/>
              </w:rPr>
            </w:pPr>
            <w:r>
              <w:rPr>
                <w:rFonts w:ascii="宋体" w:hAnsi="宋体" w:eastAsia="宋体" w:cs="宋体"/>
                <w:spacing w:val="2"/>
                <w:sz w:val="24"/>
                <w:szCs w:val="24"/>
              </w:rPr>
              <w:t>品牌</w:t>
            </w:r>
            <w:r>
              <w:rPr>
                <w:rFonts w:hint="eastAsia" w:ascii="宋体" w:hAnsi="宋体" w:eastAsia="宋体" w:cs="宋体"/>
                <w:spacing w:val="2"/>
                <w:sz w:val="24"/>
                <w:szCs w:val="24"/>
                <w:lang w:val="en-US" w:eastAsia="zh-CN"/>
              </w:rPr>
              <w:t>规格</w:t>
            </w:r>
            <w:r>
              <w:rPr>
                <w:rFonts w:ascii="宋体" w:hAnsi="宋体" w:eastAsia="宋体" w:cs="宋体"/>
                <w:spacing w:val="2"/>
                <w:sz w:val="24"/>
                <w:szCs w:val="24"/>
              </w:rPr>
              <w:t>/型号</w:t>
            </w:r>
          </w:p>
        </w:tc>
        <w:tc>
          <w:tcPr>
            <w:tcW w:w="843" w:type="dxa"/>
            <w:vAlign w:val="center"/>
          </w:tcPr>
          <w:p>
            <w:pPr>
              <w:spacing w:before="78" w:line="219" w:lineRule="auto"/>
              <w:jc w:val="center"/>
              <w:rPr>
                <w:rFonts w:hint="eastAsia" w:ascii="宋体" w:hAnsi="宋体" w:eastAsia="宋体" w:cs="宋体"/>
                <w:sz w:val="24"/>
                <w:szCs w:val="24"/>
                <w:lang w:eastAsia="zh-CN"/>
              </w:rPr>
            </w:pPr>
            <w:r>
              <w:rPr>
                <w:rFonts w:hint="eastAsia" w:ascii="宋体" w:hAnsi="宋体" w:eastAsia="宋体" w:cs="宋体"/>
                <w:spacing w:val="5"/>
                <w:sz w:val="24"/>
                <w:szCs w:val="24"/>
                <w:lang w:val="en-US" w:eastAsia="zh-CN"/>
              </w:rPr>
              <w:t>产地</w:t>
            </w:r>
          </w:p>
        </w:tc>
        <w:tc>
          <w:tcPr>
            <w:tcW w:w="1068" w:type="dxa"/>
            <w:vAlign w:val="center"/>
          </w:tcPr>
          <w:p>
            <w:pPr>
              <w:spacing w:before="78" w:line="309" w:lineRule="auto"/>
              <w:ind w:right="144"/>
              <w:jc w:val="center"/>
              <w:rPr>
                <w:rFonts w:hint="eastAsia" w:ascii="宋体" w:hAnsi="宋体" w:eastAsia="宋体" w:cs="宋体"/>
                <w:sz w:val="24"/>
                <w:szCs w:val="24"/>
                <w:lang w:eastAsia="zh-CN"/>
              </w:rPr>
            </w:pPr>
            <w:r>
              <w:rPr>
                <w:rFonts w:hint="eastAsia" w:ascii="宋体" w:hAnsi="宋体" w:eastAsia="宋体" w:cs="宋体"/>
                <w:spacing w:val="-5"/>
                <w:sz w:val="24"/>
                <w:szCs w:val="24"/>
                <w:lang w:val="en-US" w:eastAsia="zh-CN"/>
              </w:rPr>
              <w:t>生产商</w:t>
            </w:r>
          </w:p>
        </w:tc>
        <w:tc>
          <w:tcPr>
            <w:tcW w:w="1494" w:type="dxa"/>
            <w:vAlign w:val="center"/>
          </w:tcPr>
          <w:p>
            <w:pPr>
              <w:spacing w:before="78" w:line="218" w:lineRule="auto"/>
              <w:ind w:left="136"/>
              <w:jc w:val="center"/>
              <w:rPr>
                <w:rFonts w:hint="default" w:ascii="宋体" w:hAnsi="宋体" w:eastAsia="宋体" w:cs="宋体"/>
                <w:spacing w:val="10"/>
                <w:sz w:val="24"/>
                <w:szCs w:val="24"/>
                <w:lang w:val="en-US" w:eastAsia="zh-CN"/>
              </w:rPr>
            </w:pPr>
            <w:r>
              <w:rPr>
                <w:rFonts w:hint="eastAsia" w:ascii="宋体" w:hAnsi="宋体" w:eastAsia="宋体" w:cs="宋体"/>
                <w:spacing w:val="10"/>
                <w:sz w:val="24"/>
                <w:szCs w:val="24"/>
                <w:lang w:val="en-US" w:eastAsia="zh-CN"/>
              </w:rPr>
              <w:t>制造商性质（大型/中型/小型/微型）</w:t>
            </w:r>
          </w:p>
        </w:tc>
        <w:tc>
          <w:tcPr>
            <w:tcW w:w="660" w:type="dxa"/>
            <w:vAlign w:val="center"/>
          </w:tcPr>
          <w:p>
            <w:pPr>
              <w:spacing w:before="78" w:line="218" w:lineRule="auto"/>
              <w:ind w:left="136"/>
              <w:jc w:val="center"/>
              <w:rPr>
                <w:rFonts w:hint="default" w:ascii="宋体" w:hAnsi="宋体" w:eastAsia="宋体" w:cs="宋体"/>
                <w:spacing w:val="10"/>
                <w:sz w:val="24"/>
                <w:szCs w:val="24"/>
                <w:lang w:val="en-US" w:eastAsia="zh-CN"/>
              </w:rPr>
            </w:pPr>
            <w:r>
              <w:rPr>
                <w:rFonts w:hint="eastAsia" w:ascii="宋体" w:hAnsi="宋体" w:eastAsia="宋体" w:cs="宋体"/>
                <w:spacing w:val="10"/>
                <w:sz w:val="24"/>
                <w:szCs w:val="24"/>
                <w:lang w:val="en-US" w:eastAsia="zh-CN"/>
              </w:rPr>
              <w:t>单位</w:t>
            </w:r>
          </w:p>
        </w:tc>
        <w:tc>
          <w:tcPr>
            <w:tcW w:w="678" w:type="dxa"/>
            <w:vAlign w:val="center"/>
          </w:tcPr>
          <w:p>
            <w:pPr>
              <w:spacing w:before="78" w:line="218" w:lineRule="auto"/>
              <w:ind w:left="136"/>
              <w:jc w:val="center"/>
              <w:rPr>
                <w:rFonts w:hint="default" w:ascii="宋体" w:hAnsi="宋体" w:eastAsia="宋体" w:cs="宋体"/>
                <w:spacing w:val="10"/>
                <w:sz w:val="24"/>
                <w:szCs w:val="24"/>
                <w:lang w:val="en-US" w:eastAsia="zh-CN"/>
              </w:rPr>
            </w:pPr>
            <w:r>
              <w:rPr>
                <w:rFonts w:hint="eastAsia" w:ascii="宋体" w:hAnsi="宋体" w:eastAsia="宋体" w:cs="宋体"/>
                <w:spacing w:val="10"/>
                <w:sz w:val="24"/>
                <w:szCs w:val="24"/>
                <w:lang w:val="en-US" w:eastAsia="zh-CN"/>
              </w:rPr>
              <w:t>数量</w:t>
            </w:r>
          </w:p>
        </w:tc>
        <w:tc>
          <w:tcPr>
            <w:tcW w:w="607" w:type="dxa"/>
            <w:vAlign w:val="center"/>
          </w:tcPr>
          <w:p>
            <w:pPr>
              <w:spacing w:before="78" w:line="218" w:lineRule="auto"/>
              <w:jc w:val="center"/>
              <w:rPr>
                <w:rFonts w:ascii="宋体" w:hAnsi="宋体" w:eastAsia="宋体" w:cs="宋体"/>
                <w:sz w:val="24"/>
                <w:szCs w:val="24"/>
              </w:rPr>
            </w:pPr>
            <w:r>
              <w:rPr>
                <w:rFonts w:ascii="宋体" w:hAnsi="宋体" w:eastAsia="宋体" w:cs="宋体"/>
                <w:spacing w:val="10"/>
                <w:sz w:val="24"/>
                <w:szCs w:val="24"/>
              </w:rPr>
              <w:t>单价</w:t>
            </w:r>
          </w:p>
        </w:tc>
        <w:tc>
          <w:tcPr>
            <w:tcW w:w="607" w:type="dxa"/>
            <w:vAlign w:val="center"/>
          </w:tcPr>
          <w:p>
            <w:pPr>
              <w:spacing w:before="78" w:line="219" w:lineRule="auto"/>
              <w:jc w:val="center"/>
              <w:rPr>
                <w:rFonts w:hint="eastAsia" w:ascii="宋体" w:hAnsi="宋体" w:eastAsia="宋体" w:cs="宋体"/>
                <w:sz w:val="24"/>
                <w:szCs w:val="24"/>
                <w:lang w:eastAsia="zh-CN"/>
              </w:rPr>
            </w:pPr>
            <w:r>
              <w:rPr>
                <w:rFonts w:hint="eastAsia" w:ascii="宋体" w:hAnsi="宋体" w:eastAsia="宋体" w:cs="宋体"/>
                <w:spacing w:val="10"/>
                <w:sz w:val="24"/>
                <w:szCs w:val="24"/>
                <w:lang w:val="en-US" w:eastAsia="zh-CN"/>
              </w:rPr>
              <w:t>总价</w:t>
            </w:r>
          </w:p>
        </w:tc>
        <w:tc>
          <w:tcPr>
            <w:tcW w:w="895" w:type="dxa"/>
            <w:vAlign w:val="center"/>
          </w:tcPr>
          <w:p>
            <w:pPr>
              <w:spacing w:before="78" w:line="219" w:lineRule="auto"/>
              <w:ind w:left="298"/>
              <w:jc w:val="center"/>
              <w:rPr>
                <w:rFonts w:hint="default" w:ascii="宋体" w:hAnsi="宋体" w:eastAsia="宋体" w:cs="宋体"/>
                <w:spacing w:val="10"/>
                <w:sz w:val="24"/>
                <w:szCs w:val="24"/>
                <w:lang w:val="en-US" w:eastAsia="zh-CN"/>
              </w:rPr>
            </w:pPr>
            <w:r>
              <w:rPr>
                <w:rFonts w:hint="eastAsia" w:ascii="宋体" w:hAnsi="宋体" w:eastAsia="宋体" w:cs="宋体"/>
                <w:spacing w:val="10"/>
                <w:sz w:val="24"/>
                <w:szCs w:val="24"/>
                <w:lang w:val="en-US" w:eastAsia="zh-CN"/>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6" w:hRule="atLeast"/>
        </w:trPr>
        <w:tc>
          <w:tcPr>
            <w:tcW w:w="555" w:type="dxa"/>
            <w:vAlign w:val="top"/>
          </w:tcPr>
          <w:p>
            <w:pPr>
              <w:pStyle w:val="7"/>
            </w:pPr>
          </w:p>
        </w:tc>
        <w:tc>
          <w:tcPr>
            <w:tcW w:w="1046" w:type="dxa"/>
            <w:vAlign w:val="top"/>
          </w:tcPr>
          <w:p>
            <w:pPr>
              <w:pStyle w:val="7"/>
            </w:pPr>
          </w:p>
        </w:tc>
        <w:tc>
          <w:tcPr>
            <w:tcW w:w="980" w:type="dxa"/>
            <w:vAlign w:val="top"/>
          </w:tcPr>
          <w:p>
            <w:pPr>
              <w:pStyle w:val="7"/>
            </w:pPr>
          </w:p>
        </w:tc>
        <w:tc>
          <w:tcPr>
            <w:tcW w:w="843" w:type="dxa"/>
            <w:vAlign w:val="top"/>
          </w:tcPr>
          <w:p>
            <w:pPr>
              <w:pStyle w:val="7"/>
            </w:pPr>
          </w:p>
        </w:tc>
        <w:tc>
          <w:tcPr>
            <w:tcW w:w="1068" w:type="dxa"/>
            <w:vAlign w:val="top"/>
          </w:tcPr>
          <w:p>
            <w:pPr>
              <w:pStyle w:val="7"/>
            </w:pPr>
          </w:p>
        </w:tc>
        <w:tc>
          <w:tcPr>
            <w:tcW w:w="1494" w:type="dxa"/>
            <w:vAlign w:val="top"/>
          </w:tcPr>
          <w:p>
            <w:pPr>
              <w:pStyle w:val="7"/>
            </w:pPr>
          </w:p>
        </w:tc>
        <w:tc>
          <w:tcPr>
            <w:tcW w:w="660" w:type="dxa"/>
            <w:vAlign w:val="top"/>
          </w:tcPr>
          <w:p>
            <w:pPr>
              <w:pStyle w:val="7"/>
            </w:pPr>
          </w:p>
        </w:tc>
        <w:tc>
          <w:tcPr>
            <w:tcW w:w="678" w:type="dxa"/>
            <w:vAlign w:val="top"/>
          </w:tcPr>
          <w:p>
            <w:pPr>
              <w:pStyle w:val="7"/>
            </w:pPr>
          </w:p>
        </w:tc>
        <w:tc>
          <w:tcPr>
            <w:tcW w:w="607" w:type="dxa"/>
            <w:vAlign w:val="top"/>
          </w:tcPr>
          <w:p>
            <w:pPr>
              <w:pStyle w:val="7"/>
            </w:pPr>
          </w:p>
        </w:tc>
        <w:tc>
          <w:tcPr>
            <w:tcW w:w="607" w:type="dxa"/>
            <w:vAlign w:val="top"/>
          </w:tcPr>
          <w:p>
            <w:pPr>
              <w:pStyle w:val="7"/>
            </w:pPr>
          </w:p>
        </w:tc>
        <w:tc>
          <w:tcPr>
            <w:tcW w:w="895" w:type="dxa"/>
            <w:vAlign w:val="top"/>
          </w:tcPr>
          <w:p>
            <w:pPr>
              <w:pStyle w:val="7"/>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3" w:hRule="atLeast"/>
        </w:trPr>
        <w:tc>
          <w:tcPr>
            <w:tcW w:w="555" w:type="dxa"/>
            <w:vAlign w:val="top"/>
          </w:tcPr>
          <w:p>
            <w:pPr>
              <w:pStyle w:val="7"/>
            </w:pPr>
          </w:p>
        </w:tc>
        <w:tc>
          <w:tcPr>
            <w:tcW w:w="1046" w:type="dxa"/>
            <w:vAlign w:val="top"/>
          </w:tcPr>
          <w:p>
            <w:pPr>
              <w:pStyle w:val="7"/>
            </w:pPr>
          </w:p>
        </w:tc>
        <w:tc>
          <w:tcPr>
            <w:tcW w:w="980" w:type="dxa"/>
            <w:vAlign w:val="top"/>
          </w:tcPr>
          <w:p>
            <w:pPr>
              <w:pStyle w:val="7"/>
            </w:pPr>
          </w:p>
        </w:tc>
        <w:tc>
          <w:tcPr>
            <w:tcW w:w="843" w:type="dxa"/>
            <w:vAlign w:val="top"/>
          </w:tcPr>
          <w:p>
            <w:pPr>
              <w:pStyle w:val="7"/>
            </w:pPr>
          </w:p>
        </w:tc>
        <w:tc>
          <w:tcPr>
            <w:tcW w:w="1068" w:type="dxa"/>
            <w:vAlign w:val="top"/>
          </w:tcPr>
          <w:p>
            <w:pPr>
              <w:pStyle w:val="7"/>
            </w:pPr>
          </w:p>
        </w:tc>
        <w:tc>
          <w:tcPr>
            <w:tcW w:w="1494" w:type="dxa"/>
            <w:vAlign w:val="top"/>
          </w:tcPr>
          <w:p>
            <w:pPr>
              <w:pStyle w:val="7"/>
            </w:pPr>
          </w:p>
        </w:tc>
        <w:tc>
          <w:tcPr>
            <w:tcW w:w="660" w:type="dxa"/>
            <w:vAlign w:val="top"/>
          </w:tcPr>
          <w:p>
            <w:pPr>
              <w:pStyle w:val="7"/>
            </w:pPr>
          </w:p>
        </w:tc>
        <w:tc>
          <w:tcPr>
            <w:tcW w:w="678" w:type="dxa"/>
            <w:vAlign w:val="top"/>
          </w:tcPr>
          <w:p>
            <w:pPr>
              <w:pStyle w:val="7"/>
            </w:pPr>
          </w:p>
        </w:tc>
        <w:tc>
          <w:tcPr>
            <w:tcW w:w="607" w:type="dxa"/>
            <w:vAlign w:val="top"/>
          </w:tcPr>
          <w:p>
            <w:pPr>
              <w:pStyle w:val="7"/>
            </w:pPr>
          </w:p>
        </w:tc>
        <w:tc>
          <w:tcPr>
            <w:tcW w:w="607" w:type="dxa"/>
            <w:vAlign w:val="top"/>
          </w:tcPr>
          <w:p>
            <w:pPr>
              <w:pStyle w:val="7"/>
            </w:pPr>
          </w:p>
        </w:tc>
        <w:tc>
          <w:tcPr>
            <w:tcW w:w="895" w:type="dxa"/>
            <w:vAlign w:val="top"/>
          </w:tcPr>
          <w:p>
            <w:pPr>
              <w:pStyle w:val="7"/>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2" w:hRule="atLeast"/>
        </w:trPr>
        <w:tc>
          <w:tcPr>
            <w:tcW w:w="555" w:type="dxa"/>
            <w:vAlign w:val="top"/>
          </w:tcPr>
          <w:p>
            <w:pPr>
              <w:pStyle w:val="7"/>
            </w:pPr>
          </w:p>
        </w:tc>
        <w:tc>
          <w:tcPr>
            <w:tcW w:w="1046" w:type="dxa"/>
            <w:vAlign w:val="top"/>
          </w:tcPr>
          <w:p>
            <w:pPr>
              <w:pStyle w:val="7"/>
            </w:pPr>
          </w:p>
        </w:tc>
        <w:tc>
          <w:tcPr>
            <w:tcW w:w="980" w:type="dxa"/>
            <w:vAlign w:val="top"/>
          </w:tcPr>
          <w:p>
            <w:pPr>
              <w:pStyle w:val="7"/>
            </w:pPr>
          </w:p>
        </w:tc>
        <w:tc>
          <w:tcPr>
            <w:tcW w:w="843" w:type="dxa"/>
            <w:vAlign w:val="top"/>
          </w:tcPr>
          <w:p>
            <w:pPr>
              <w:pStyle w:val="7"/>
            </w:pPr>
          </w:p>
        </w:tc>
        <w:tc>
          <w:tcPr>
            <w:tcW w:w="1068" w:type="dxa"/>
            <w:vAlign w:val="top"/>
          </w:tcPr>
          <w:p>
            <w:pPr>
              <w:pStyle w:val="7"/>
            </w:pPr>
          </w:p>
        </w:tc>
        <w:tc>
          <w:tcPr>
            <w:tcW w:w="1494" w:type="dxa"/>
            <w:vAlign w:val="top"/>
          </w:tcPr>
          <w:p>
            <w:pPr>
              <w:pStyle w:val="7"/>
            </w:pPr>
          </w:p>
        </w:tc>
        <w:tc>
          <w:tcPr>
            <w:tcW w:w="660" w:type="dxa"/>
            <w:vAlign w:val="top"/>
          </w:tcPr>
          <w:p>
            <w:pPr>
              <w:pStyle w:val="7"/>
            </w:pPr>
          </w:p>
        </w:tc>
        <w:tc>
          <w:tcPr>
            <w:tcW w:w="678" w:type="dxa"/>
            <w:vAlign w:val="top"/>
          </w:tcPr>
          <w:p>
            <w:pPr>
              <w:pStyle w:val="7"/>
            </w:pPr>
          </w:p>
        </w:tc>
        <w:tc>
          <w:tcPr>
            <w:tcW w:w="607" w:type="dxa"/>
            <w:vAlign w:val="top"/>
          </w:tcPr>
          <w:p>
            <w:pPr>
              <w:pStyle w:val="7"/>
            </w:pPr>
          </w:p>
        </w:tc>
        <w:tc>
          <w:tcPr>
            <w:tcW w:w="607" w:type="dxa"/>
            <w:vAlign w:val="top"/>
          </w:tcPr>
          <w:p>
            <w:pPr>
              <w:pStyle w:val="7"/>
            </w:pPr>
          </w:p>
        </w:tc>
        <w:tc>
          <w:tcPr>
            <w:tcW w:w="895" w:type="dxa"/>
            <w:vAlign w:val="top"/>
          </w:tcPr>
          <w:p>
            <w:pPr>
              <w:pStyle w:val="7"/>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2" w:hRule="atLeast"/>
        </w:trPr>
        <w:tc>
          <w:tcPr>
            <w:tcW w:w="2581" w:type="dxa"/>
            <w:gridSpan w:val="3"/>
            <w:vAlign w:val="center"/>
          </w:tcPr>
          <w:p>
            <w:pPr>
              <w:bidi w:val="0"/>
              <w:jc w:val="center"/>
              <w:rPr>
                <w:rFonts w:hint="eastAsia" w:eastAsia="宋体"/>
                <w:lang w:val="en-US" w:eastAsia="zh-CN"/>
              </w:rPr>
            </w:pPr>
            <w:r>
              <w:rPr>
                <w:rFonts w:hint="eastAsia" w:eastAsia="宋体"/>
                <w:lang w:val="en-US" w:eastAsia="zh-CN"/>
              </w:rPr>
              <w:t>合计（元）</w:t>
            </w:r>
          </w:p>
        </w:tc>
        <w:tc>
          <w:tcPr>
            <w:tcW w:w="6852" w:type="dxa"/>
            <w:gridSpan w:val="8"/>
            <w:vAlign w:val="center"/>
          </w:tcPr>
          <w:p>
            <w:pPr>
              <w:pStyle w:val="7"/>
              <w:ind w:firstLine="420" w:firstLineChars="200"/>
              <w:jc w:val="both"/>
              <w:rPr>
                <w:rFonts w:hint="eastAsia" w:eastAsia="宋体"/>
                <w:lang w:val="en-US" w:eastAsia="zh-CN"/>
              </w:rPr>
            </w:pPr>
            <w:r>
              <w:rPr>
                <w:rFonts w:hint="eastAsia" w:eastAsia="宋体"/>
                <w:lang w:val="en-US" w:eastAsia="zh-CN"/>
              </w:rPr>
              <w:t>大写：</w:t>
            </w:r>
          </w:p>
          <w:p>
            <w:pPr>
              <w:pStyle w:val="7"/>
              <w:ind w:firstLine="420" w:firstLineChars="200"/>
              <w:jc w:val="both"/>
              <w:rPr>
                <w:rFonts w:hint="default" w:eastAsia="宋体"/>
                <w:lang w:val="en-US" w:eastAsia="zh-CN"/>
              </w:rPr>
            </w:pPr>
            <w:r>
              <w:rPr>
                <w:rFonts w:hint="eastAsia" w:eastAsia="宋体"/>
                <w:lang w:val="en-US" w:eastAsia="zh-CN"/>
              </w:rPr>
              <w:t>小写：</w:t>
            </w:r>
          </w:p>
        </w:tc>
      </w:tr>
    </w:tbl>
    <w:p>
      <w:pPr>
        <w:pStyle w:val="2"/>
        <w:spacing w:before="147" w:line="317" w:lineRule="auto"/>
        <w:ind w:left="2839" w:right="1162" w:hanging="2309"/>
      </w:pPr>
      <w:r>
        <w:rPr>
          <w:spacing w:val="-5"/>
        </w:rPr>
        <w:t>乙方向甲方提供下列货物(产品)及服务(谈判文</w:t>
      </w:r>
      <w:r>
        <w:rPr>
          <w:spacing w:val="-6"/>
        </w:rPr>
        <w:t>件中的采购内容):</w:t>
      </w:r>
      <w:r>
        <w:t xml:space="preserve"> </w:t>
      </w:r>
      <w:r>
        <w:rPr>
          <w:spacing w:val="-4"/>
        </w:rPr>
        <w:t>货物(产品)及服务一览表</w:t>
      </w:r>
    </w:p>
    <w:p>
      <w:pPr>
        <w:rPr>
          <w:rFonts w:ascii="Arial"/>
          <w:sz w:val="21"/>
        </w:rPr>
      </w:pPr>
    </w:p>
    <w:p>
      <w:pPr>
        <w:pStyle w:val="2"/>
        <w:spacing w:before="78" w:line="213" w:lineRule="auto"/>
        <w:rPr>
          <w:rFonts w:hint="eastAsia"/>
          <w:spacing w:val="-1"/>
          <w:sz w:val="24"/>
          <w:szCs w:val="24"/>
          <w:lang w:val="en-US" w:eastAsia="zh-CN"/>
        </w:rPr>
      </w:pPr>
      <w:r>
        <w:rPr>
          <w:rFonts w:hint="eastAsia"/>
          <w:spacing w:val="-1"/>
          <w:sz w:val="24"/>
          <w:szCs w:val="24"/>
          <w:lang w:val="en-US" w:eastAsia="zh-CN"/>
        </w:rPr>
        <w:t>其中中小企业份额占比为：</w:t>
      </w:r>
      <w:r>
        <w:rPr>
          <w:rFonts w:hint="eastAsia"/>
          <w:spacing w:val="-1"/>
          <w:sz w:val="24"/>
          <w:szCs w:val="24"/>
          <w:u w:val="single"/>
          <w:lang w:val="en-US" w:eastAsia="zh-CN"/>
        </w:rPr>
        <w:t xml:space="preserve">          </w:t>
      </w:r>
      <w:r>
        <w:rPr>
          <w:rFonts w:hint="eastAsia"/>
          <w:spacing w:val="-1"/>
          <w:sz w:val="24"/>
          <w:szCs w:val="24"/>
          <w:lang w:val="en-US" w:eastAsia="zh-CN"/>
        </w:rPr>
        <w:t>%</w:t>
      </w:r>
    </w:p>
    <w:p>
      <w:pPr>
        <w:pStyle w:val="2"/>
        <w:spacing w:before="78" w:line="213" w:lineRule="auto"/>
        <w:rPr>
          <w:rFonts w:hint="eastAsia"/>
          <w:spacing w:val="-1"/>
          <w:sz w:val="24"/>
          <w:szCs w:val="24"/>
          <w:lang w:val="en-US" w:eastAsia="zh-CN"/>
        </w:rPr>
      </w:pPr>
      <w:r>
        <w:rPr>
          <w:rFonts w:hint="eastAsia"/>
          <w:spacing w:val="-1"/>
          <w:sz w:val="24"/>
          <w:szCs w:val="24"/>
          <w:lang w:val="en-US" w:eastAsia="zh-CN"/>
        </w:rPr>
        <w:t>注：</w:t>
      </w:r>
    </w:p>
    <w:p>
      <w:pPr>
        <w:pStyle w:val="2"/>
        <w:spacing w:before="78" w:line="213" w:lineRule="auto"/>
        <w:rPr>
          <w:rFonts w:hint="default"/>
          <w:spacing w:val="-1"/>
          <w:sz w:val="24"/>
          <w:szCs w:val="24"/>
          <w:lang w:val="en-US" w:eastAsia="zh-CN"/>
        </w:rPr>
      </w:pPr>
      <w:r>
        <w:rPr>
          <w:rFonts w:hint="default"/>
          <w:spacing w:val="-1"/>
          <w:sz w:val="24"/>
          <w:szCs w:val="24"/>
          <w:lang w:val="en-US" w:eastAsia="zh-CN"/>
        </w:rPr>
        <w:t>1.所报货币为人民币。</w:t>
      </w:r>
    </w:p>
    <w:p>
      <w:pPr>
        <w:pStyle w:val="2"/>
        <w:spacing w:before="78" w:line="213" w:lineRule="auto"/>
        <w:rPr>
          <w:rFonts w:hint="default"/>
          <w:spacing w:val="-1"/>
          <w:sz w:val="24"/>
          <w:szCs w:val="24"/>
          <w:lang w:val="en-US" w:eastAsia="zh-CN"/>
        </w:rPr>
      </w:pPr>
      <w:r>
        <w:rPr>
          <w:rFonts w:hint="default"/>
          <w:spacing w:val="-1"/>
          <w:sz w:val="24"/>
          <w:szCs w:val="24"/>
          <w:lang w:val="en-US" w:eastAsia="zh-CN"/>
        </w:rPr>
        <w:t>2.本表中的“合计”应与“</w:t>
      </w:r>
      <w:r>
        <w:rPr>
          <w:rFonts w:hint="eastAsia"/>
          <w:spacing w:val="-1"/>
          <w:sz w:val="24"/>
          <w:szCs w:val="24"/>
          <w:lang w:val="en-US" w:eastAsia="zh-CN"/>
        </w:rPr>
        <w:t>谈判</w:t>
      </w:r>
      <w:r>
        <w:rPr>
          <w:rFonts w:hint="default"/>
          <w:spacing w:val="-1"/>
          <w:sz w:val="24"/>
          <w:szCs w:val="24"/>
          <w:lang w:val="en-US" w:eastAsia="zh-CN"/>
        </w:rPr>
        <w:t>响应第一次报价表”中的</w:t>
      </w:r>
      <w:r>
        <w:rPr>
          <w:rFonts w:hint="eastAsia"/>
          <w:spacing w:val="-1"/>
          <w:sz w:val="24"/>
          <w:szCs w:val="24"/>
          <w:lang w:val="en-US" w:eastAsia="zh-CN"/>
        </w:rPr>
        <w:t>谈判</w:t>
      </w:r>
      <w:r>
        <w:rPr>
          <w:rFonts w:hint="default"/>
          <w:spacing w:val="-1"/>
          <w:sz w:val="24"/>
          <w:szCs w:val="24"/>
          <w:lang w:val="en-US" w:eastAsia="zh-CN"/>
        </w:rPr>
        <w:t>报价一致。</w:t>
      </w:r>
    </w:p>
    <w:p>
      <w:pPr>
        <w:pStyle w:val="2"/>
        <w:spacing w:before="78" w:line="213" w:lineRule="auto"/>
        <w:rPr>
          <w:rFonts w:hint="default"/>
          <w:spacing w:val="-1"/>
          <w:sz w:val="24"/>
          <w:szCs w:val="24"/>
          <w:lang w:val="en-US" w:eastAsia="zh-CN"/>
        </w:rPr>
      </w:pPr>
      <w:r>
        <w:rPr>
          <w:rFonts w:hint="default"/>
          <w:spacing w:val="-1"/>
          <w:sz w:val="24"/>
          <w:szCs w:val="24"/>
          <w:lang w:val="en-US" w:eastAsia="zh-CN"/>
        </w:rPr>
        <w:t>3.表格不够，可按此表复制。</w:t>
      </w:r>
    </w:p>
    <w:p>
      <w:pPr>
        <w:pStyle w:val="2"/>
        <w:spacing w:before="78" w:line="213" w:lineRule="auto"/>
        <w:rPr>
          <w:rFonts w:hint="default"/>
          <w:spacing w:val="-1"/>
          <w:sz w:val="24"/>
          <w:szCs w:val="24"/>
          <w:lang w:val="en-US" w:eastAsia="zh-CN"/>
        </w:rPr>
        <w:sectPr>
          <w:pgSz w:w="11900" w:h="16840"/>
          <w:pgMar w:top="1386" w:right="1475" w:bottom="0" w:left="1770" w:header="0" w:footer="0" w:gutter="0"/>
          <w:cols w:space="720" w:num="1"/>
        </w:sectPr>
      </w:pPr>
      <w:r>
        <w:rPr>
          <w:rFonts w:hint="default"/>
          <w:spacing w:val="-1"/>
          <w:sz w:val="24"/>
          <w:szCs w:val="24"/>
          <w:lang w:val="en-US" w:eastAsia="zh-CN"/>
        </w:rPr>
        <w:t>4</w:t>
      </w:r>
      <w:r>
        <w:rPr>
          <w:rFonts w:hint="eastAsia"/>
          <w:spacing w:val="-1"/>
          <w:sz w:val="24"/>
          <w:szCs w:val="24"/>
          <w:lang w:val="en-US" w:eastAsia="zh-CN"/>
        </w:rPr>
        <w:t>.</w:t>
      </w:r>
      <w:r>
        <w:rPr>
          <w:rFonts w:hint="default"/>
          <w:spacing w:val="-1"/>
          <w:sz w:val="24"/>
          <w:szCs w:val="24"/>
          <w:lang w:val="en-US" w:eastAsia="zh-CN"/>
        </w:rPr>
        <w:t>此分项报价表中应包含所有产品</w:t>
      </w:r>
      <w:r>
        <w:rPr>
          <w:rFonts w:hint="eastAsia"/>
          <w:spacing w:val="-1"/>
          <w:sz w:val="24"/>
          <w:szCs w:val="24"/>
          <w:lang w:val="en-US" w:eastAsia="zh-CN"/>
        </w:rPr>
        <w:t>谈判</w:t>
      </w:r>
      <w:r>
        <w:rPr>
          <w:rFonts w:hint="default"/>
          <w:spacing w:val="-1"/>
          <w:sz w:val="24"/>
          <w:szCs w:val="24"/>
          <w:lang w:val="en-US" w:eastAsia="zh-CN"/>
        </w:rPr>
        <w:t>报价。</w:t>
      </w:r>
    </w:p>
    <w:p>
      <w:pPr>
        <w:pStyle w:val="2"/>
        <w:spacing w:before="48" w:line="222" w:lineRule="auto"/>
        <w:rPr>
          <w:sz w:val="24"/>
          <w:szCs w:val="24"/>
        </w:rPr>
      </w:pPr>
      <w:r>
        <w:rPr>
          <w:spacing w:val="-2"/>
          <w:sz w:val="24"/>
          <w:szCs w:val="24"/>
        </w:rPr>
        <w:t>第二条合同价款</w:t>
      </w:r>
    </w:p>
    <w:p>
      <w:pPr>
        <w:spacing w:line="320" w:lineRule="auto"/>
        <w:rPr>
          <w:rFonts w:ascii="Arial"/>
          <w:sz w:val="21"/>
        </w:rPr>
      </w:pPr>
    </w:p>
    <w:p>
      <w:pPr>
        <w:pStyle w:val="2"/>
        <w:spacing w:before="78" w:line="213" w:lineRule="auto"/>
        <w:ind w:left="449"/>
        <w:rPr>
          <w:sz w:val="24"/>
          <w:szCs w:val="24"/>
        </w:rPr>
      </w:pPr>
      <w:r>
        <w:rPr>
          <w:spacing w:val="-1"/>
          <w:sz w:val="24"/>
          <w:szCs w:val="24"/>
        </w:rPr>
        <w:t>1.合同总价：人民币(大写)</w:t>
      </w:r>
      <w:r>
        <w:rPr>
          <w:spacing w:val="17"/>
          <w:sz w:val="24"/>
          <w:szCs w:val="24"/>
          <w:u w:val="single"/>
        </w:rPr>
        <w:t xml:space="preserve">       </w:t>
      </w:r>
      <w:r>
        <w:rPr>
          <w:spacing w:val="-1"/>
          <w:sz w:val="24"/>
          <w:szCs w:val="24"/>
        </w:rPr>
        <w:t>元，(</w:t>
      </w:r>
      <w:r>
        <w:rPr>
          <w:rFonts w:ascii="宋体" w:hAnsi="宋体" w:eastAsia="宋体" w:cs="宋体"/>
          <w:spacing w:val="-1"/>
          <w:sz w:val="24"/>
          <w:szCs w:val="24"/>
        </w:rPr>
        <w:t>¥</w:t>
      </w:r>
      <w:r>
        <w:rPr>
          <w:rFonts w:ascii="宋体" w:hAnsi="宋体" w:eastAsia="宋体" w:cs="宋体"/>
          <w:spacing w:val="11"/>
          <w:sz w:val="24"/>
          <w:szCs w:val="24"/>
          <w:u w:val="single"/>
        </w:rPr>
        <w:t xml:space="preserve">     </w:t>
      </w:r>
      <w:r>
        <w:rPr>
          <w:spacing w:val="-1"/>
          <w:sz w:val="24"/>
          <w:szCs w:val="24"/>
        </w:rPr>
        <w:t>)。</w:t>
      </w:r>
    </w:p>
    <w:p>
      <w:pPr>
        <w:pStyle w:val="2"/>
        <w:spacing w:before="152" w:line="309" w:lineRule="auto"/>
        <w:ind w:right="122" w:firstLine="449"/>
        <w:rPr>
          <w:sz w:val="24"/>
          <w:szCs w:val="24"/>
        </w:rPr>
      </w:pPr>
      <w:r>
        <w:rPr>
          <w:rFonts w:ascii="宋体" w:hAnsi="宋体" w:eastAsia="宋体" w:cs="宋体"/>
          <w:spacing w:val="-10"/>
          <w:sz w:val="24"/>
          <w:szCs w:val="24"/>
        </w:rPr>
        <w:t>2.</w:t>
      </w:r>
      <w:r>
        <w:rPr>
          <w:spacing w:val="-10"/>
          <w:sz w:val="24"/>
          <w:szCs w:val="24"/>
        </w:rPr>
        <w:t>本合同总价是产品、辅材、制造、包装</w:t>
      </w:r>
      <w:r>
        <w:rPr>
          <w:spacing w:val="-11"/>
          <w:sz w:val="24"/>
          <w:szCs w:val="24"/>
        </w:rPr>
        <w:t>、运输、安装、调试、检测、验收合格交付使用之</w:t>
      </w:r>
      <w:r>
        <w:rPr>
          <w:sz w:val="24"/>
          <w:szCs w:val="24"/>
        </w:rPr>
        <w:t xml:space="preserve"> </w:t>
      </w:r>
      <w:r>
        <w:rPr>
          <w:spacing w:val="-12"/>
          <w:sz w:val="24"/>
          <w:szCs w:val="24"/>
        </w:rPr>
        <w:t>前及保修期内保修服务等其他有关各项的含税</w:t>
      </w:r>
      <w:r>
        <w:rPr>
          <w:spacing w:val="-13"/>
          <w:sz w:val="24"/>
          <w:szCs w:val="24"/>
        </w:rPr>
        <w:t>费用。</w:t>
      </w:r>
    </w:p>
    <w:p>
      <w:pPr>
        <w:pStyle w:val="2"/>
        <w:spacing w:before="37" w:line="221" w:lineRule="auto"/>
        <w:ind w:left="449"/>
        <w:rPr>
          <w:sz w:val="24"/>
          <w:szCs w:val="24"/>
        </w:rPr>
      </w:pPr>
      <w:r>
        <w:rPr>
          <w:spacing w:val="-13"/>
          <w:sz w:val="24"/>
          <w:szCs w:val="24"/>
        </w:rPr>
        <w:t>3.本合同总价还包含乙方应当提供的伴随服务和售后服务费用。</w:t>
      </w:r>
    </w:p>
    <w:p>
      <w:pPr>
        <w:pStyle w:val="2"/>
        <w:spacing w:before="121" w:line="318" w:lineRule="auto"/>
        <w:ind w:right="182" w:firstLine="449"/>
        <w:rPr>
          <w:sz w:val="24"/>
          <w:szCs w:val="24"/>
        </w:rPr>
      </w:pPr>
      <w:r>
        <w:rPr>
          <w:rFonts w:ascii="宋体" w:hAnsi="宋体" w:eastAsia="宋体" w:cs="宋体"/>
          <w:spacing w:val="-12"/>
          <w:sz w:val="24"/>
          <w:szCs w:val="24"/>
        </w:rPr>
        <w:t>4.</w:t>
      </w:r>
      <w:r>
        <w:rPr>
          <w:spacing w:val="-12"/>
          <w:sz w:val="24"/>
          <w:szCs w:val="24"/>
        </w:rPr>
        <w:t>本合同执行期间合同总价不变，甲方无须另向乙方支付本合同规定之外的其他任何费用。</w:t>
      </w:r>
      <w:r>
        <w:rPr>
          <w:sz w:val="24"/>
          <w:szCs w:val="24"/>
        </w:rPr>
        <w:t xml:space="preserve"> </w:t>
      </w:r>
      <w:r>
        <w:rPr>
          <w:spacing w:val="1"/>
          <w:sz w:val="24"/>
          <w:szCs w:val="24"/>
        </w:rPr>
        <w:t>第三条合同价款支付</w:t>
      </w:r>
    </w:p>
    <w:p>
      <w:pPr>
        <w:pStyle w:val="2"/>
        <w:spacing w:before="45" w:line="342" w:lineRule="auto"/>
        <w:ind w:right="162"/>
        <w:rPr>
          <w:rFonts w:hint="default" w:eastAsia="黑体"/>
          <w:spacing w:val="-1"/>
          <w:sz w:val="24"/>
          <w:szCs w:val="24"/>
          <w:lang w:val="en-US" w:eastAsia="zh-CN"/>
        </w:rPr>
      </w:pPr>
      <w:r>
        <w:rPr>
          <w:rFonts w:hint="eastAsia"/>
          <w:spacing w:val="-1"/>
          <w:sz w:val="24"/>
          <w:szCs w:val="24"/>
          <w:lang w:val="en-US" w:eastAsia="zh-CN"/>
        </w:rPr>
        <w:t xml:space="preserve">   </w:t>
      </w:r>
      <w:r>
        <w:rPr>
          <w:rFonts w:hint="eastAsia"/>
          <w:spacing w:val="-12"/>
          <w:sz w:val="24"/>
          <w:szCs w:val="24"/>
          <w:lang w:val="en-US" w:eastAsia="zh-CN"/>
        </w:rPr>
        <w:t xml:space="preserve"> </w:t>
      </w:r>
      <w:r>
        <w:rPr>
          <w:rFonts w:hint="eastAsia"/>
          <w:spacing w:val="-12"/>
          <w:sz w:val="24"/>
          <w:szCs w:val="24"/>
        </w:rPr>
        <w:t>全部产品安装调试完毕并验收合格使用90天后，甲方向乙方支付合同总价100%的价款 ，达到付款条件起 30 日内，支付合同总金额的 100.00%。</w:t>
      </w:r>
    </w:p>
    <w:p>
      <w:pPr>
        <w:pStyle w:val="2"/>
        <w:spacing w:before="45" w:line="342" w:lineRule="auto"/>
        <w:ind w:right="162"/>
        <w:rPr>
          <w:sz w:val="24"/>
          <w:szCs w:val="24"/>
        </w:rPr>
      </w:pPr>
      <w:r>
        <w:rPr>
          <w:spacing w:val="-1"/>
          <w:sz w:val="24"/>
          <w:szCs w:val="24"/>
        </w:rPr>
        <w:t>第四条交货及质保期限</w:t>
      </w:r>
    </w:p>
    <w:p>
      <w:pPr>
        <w:pStyle w:val="2"/>
        <w:spacing w:before="1" w:line="220" w:lineRule="auto"/>
        <w:ind w:left="449"/>
        <w:rPr>
          <w:sz w:val="24"/>
          <w:szCs w:val="24"/>
        </w:rPr>
      </w:pPr>
      <w:r>
        <w:rPr>
          <w:spacing w:val="23"/>
          <w:sz w:val="24"/>
          <w:szCs w:val="24"/>
        </w:rPr>
        <w:t>交货期：2024年8月30日前完成交货</w:t>
      </w:r>
    </w:p>
    <w:p>
      <w:pPr>
        <w:pStyle w:val="2"/>
        <w:spacing w:before="132" w:line="311" w:lineRule="auto"/>
        <w:ind w:right="5723" w:firstLine="449"/>
        <w:rPr>
          <w:sz w:val="24"/>
          <w:szCs w:val="24"/>
        </w:rPr>
      </w:pPr>
      <w:r>
        <w:rPr>
          <w:spacing w:val="-3"/>
          <w:sz w:val="24"/>
          <w:szCs w:val="24"/>
        </w:rPr>
        <w:t>质保期：按国家相关规定要求执行</w:t>
      </w:r>
      <w:r>
        <w:rPr>
          <w:spacing w:val="12"/>
          <w:sz w:val="24"/>
          <w:szCs w:val="24"/>
        </w:rPr>
        <w:t xml:space="preserve"> </w:t>
      </w:r>
      <w:bookmarkStart w:id="0" w:name="_GoBack"/>
      <w:bookmarkEnd w:id="0"/>
      <w:r>
        <w:rPr>
          <w:spacing w:val="8"/>
          <w:sz w:val="24"/>
          <w:szCs w:val="24"/>
        </w:rPr>
        <w:t>第五条质保保证</w:t>
      </w:r>
    </w:p>
    <w:p>
      <w:pPr>
        <w:pStyle w:val="2"/>
        <w:spacing w:before="32" w:line="307" w:lineRule="auto"/>
        <w:ind w:firstLine="449"/>
        <w:jc w:val="both"/>
        <w:rPr>
          <w:sz w:val="24"/>
          <w:szCs w:val="24"/>
        </w:rPr>
      </w:pPr>
      <w:r>
        <w:rPr>
          <w:rFonts w:ascii="宋体" w:hAnsi="宋体" w:eastAsia="宋体" w:cs="宋体"/>
          <w:spacing w:val="-2"/>
          <w:sz w:val="24"/>
          <w:szCs w:val="24"/>
        </w:rPr>
        <w:t>1.</w:t>
      </w:r>
      <w:r>
        <w:rPr>
          <w:spacing w:val="-2"/>
          <w:sz w:val="24"/>
          <w:szCs w:val="24"/>
        </w:rPr>
        <w:t>乙方提供的设备及配套产品，必须是合同规定厂家制造的、合格、全新、未曾使用的产</w:t>
      </w:r>
      <w:r>
        <w:rPr>
          <w:spacing w:val="10"/>
          <w:sz w:val="24"/>
          <w:szCs w:val="24"/>
        </w:rPr>
        <w:t xml:space="preserve"> </w:t>
      </w:r>
      <w:r>
        <w:rPr>
          <w:spacing w:val="-9"/>
          <w:sz w:val="24"/>
          <w:szCs w:val="24"/>
        </w:rPr>
        <w:t>品，产品内部无损坏，外表无磨损，内部包装无破损。整套产品必须通</w:t>
      </w:r>
      <w:r>
        <w:rPr>
          <w:spacing w:val="-10"/>
          <w:sz w:val="24"/>
          <w:szCs w:val="24"/>
        </w:rPr>
        <w:t>过由国家技术监督部门授</w:t>
      </w:r>
      <w:r>
        <w:rPr>
          <w:sz w:val="24"/>
          <w:szCs w:val="24"/>
        </w:rPr>
        <w:t xml:space="preserve"> </w:t>
      </w:r>
      <w:r>
        <w:rPr>
          <w:spacing w:val="-12"/>
          <w:sz w:val="24"/>
          <w:szCs w:val="24"/>
        </w:rPr>
        <w:t>权的计量检定单位的检定，并附有检定使用合格证书。</w:t>
      </w:r>
    </w:p>
    <w:p>
      <w:pPr>
        <w:pStyle w:val="2"/>
        <w:spacing w:before="52" w:line="305" w:lineRule="auto"/>
        <w:ind w:right="161" w:firstLine="449"/>
        <w:rPr>
          <w:sz w:val="24"/>
          <w:szCs w:val="24"/>
        </w:rPr>
      </w:pPr>
      <w:r>
        <w:rPr>
          <w:rFonts w:ascii="宋体" w:hAnsi="宋体" w:eastAsia="宋体" w:cs="宋体"/>
          <w:spacing w:val="-11"/>
          <w:sz w:val="24"/>
          <w:szCs w:val="24"/>
        </w:rPr>
        <w:t>2.</w:t>
      </w:r>
      <w:r>
        <w:rPr>
          <w:spacing w:val="-11"/>
          <w:sz w:val="24"/>
          <w:szCs w:val="24"/>
        </w:rPr>
        <w:t>乙方提供的设备及配套产品必须等同于或</w:t>
      </w:r>
      <w:r>
        <w:rPr>
          <w:spacing w:val="-12"/>
          <w:sz w:val="24"/>
          <w:szCs w:val="24"/>
        </w:rPr>
        <w:t>优于合同技术指标要求，并能按国家标准供应、</w:t>
      </w:r>
      <w:r>
        <w:rPr>
          <w:sz w:val="24"/>
          <w:szCs w:val="24"/>
        </w:rPr>
        <w:t xml:space="preserve"> </w:t>
      </w:r>
      <w:r>
        <w:rPr>
          <w:spacing w:val="-12"/>
          <w:sz w:val="24"/>
          <w:szCs w:val="24"/>
        </w:rPr>
        <w:t>检测、调试，确保产品技术指标满足使用要求。</w:t>
      </w:r>
    </w:p>
    <w:p>
      <w:pPr>
        <w:pStyle w:val="2"/>
        <w:spacing w:before="48" w:line="323" w:lineRule="auto"/>
        <w:ind w:right="138" w:firstLine="449"/>
        <w:jc w:val="both"/>
        <w:rPr>
          <w:sz w:val="24"/>
          <w:szCs w:val="24"/>
        </w:rPr>
      </w:pPr>
      <w:r>
        <w:rPr>
          <w:spacing w:val="-12"/>
          <w:sz w:val="24"/>
          <w:szCs w:val="24"/>
        </w:rPr>
        <w:t>3.乙方须保证所提供的货物经正确安装、正常运转和保养，在其使用寿命期内须具有符合质</w:t>
      </w:r>
      <w:r>
        <w:rPr>
          <w:spacing w:val="15"/>
          <w:sz w:val="24"/>
          <w:szCs w:val="24"/>
        </w:rPr>
        <w:t xml:space="preserve"> </w:t>
      </w:r>
      <w:r>
        <w:rPr>
          <w:spacing w:val="-11"/>
          <w:sz w:val="24"/>
          <w:szCs w:val="24"/>
        </w:rPr>
        <w:t>量要求和产品说明书的性能。在产品质量保证期之内，乙方</w:t>
      </w:r>
      <w:r>
        <w:rPr>
          <w:spacing w:val="-12"/>
          <w:sz w:val="24"/>
          <w:szCs w:val="24"/>
        </w:rPr>
        <w:t>须对由于设计、工艺或材料的缺陷而</w:t>
      </w:r>
      <w:r>
        <w:rPr>
          <w:sz w:val="24"/>
          <w:szCs w:val="24"/>
        </w:rPr>
        <w:t xml:space="preserve"> </w:t>
      </w:r>
      <w:r>
        <w:rPr>
          <w:spacing w:val="-14"/>
          <w:sz w:val="24"/>
          <w:szCs w:val="24"/>
        </w:rPr>
        <w:t>发生的任何不足或故障负责。</w:t>
      </w:r>
    </w:p>
    <w:p>
      <w:pPr>
        <w:pStyle w:val="2"/>
        <w:spacing w:before="2" w:line="318" w:lineRule="auto"/>
        <w:ind w:right="23" w:firstLine="449"/>
        <w:jc w:val="both"/>
        <w:rPr>
          <w:sz w:val="24"/>
          <w:szCs w:val="24"/>
        </w:rPr>
      </w:pPr>
      <w:r>
        <w:rPr>
          <w:spacing w:val="-8"/>
          <w:sz w:val="24"/>
          <w:szCs w:val="24"/>
        </w:rPr>
        <w:t>4.发现货物的数量、质量、规格与合同不符；或者在质量保证期内，证实货物存</w:t>
      </w:r>
      <w:r>
        <w:rPr>
          <w:spacing w:val="-9"/>
          <w:sz w:val="24"/>
          <w:szCs w:val="24"/>
        </w:rPr>
        <w:t>在缺陷，包</w:t>
      </w:r>
      <w:r>
        <w:rPr>
          <w:sz w:val="24"/>
          <w:szCs w:val="24"/>
        </w:rPr>
        <w:t xml:space="preserve"> </w:t>
      </w:r>
      <w:r>
        <w:rPr>
          <w:spacing w:val="-11"/>
          <w:sz w:val="24"/>
          <w:szCs w:val="24"/>
        </w:rPr>
        <w:t>括潜在的缺陷或使用不符合要求的材料等，甲方</w:t>
      </w:r>
      <w:r>
        <w:rPr>
          <w:spacing w:val="-12"/>
          <w:sz w:val="24"/>
          <w:szCs w:val="24"/>
        </w:rPr>
        <w:t>应书面通知乙方。接到上述通知后，乙方应及时</w:t>
      </w:r>
      <w:r>
        <w:rPr>
          <w:sz w:val="24"/>
          <w:szCs w:val="24"/>
        </w:rPr>
        <w:t xml:space="preserve">  </w:t>
      </w:r>
      <w:r>
        <w:rPr>
          <w:spacing w:val="-11"/>
          <w:sz w:val="24"/>
          <w:szCs w:val="24"/>
        </w:rPr>
        <w:t>免费更换或修理破损货物。乙方在甲方发出质量异议通知后，未作答复，甲方在通知书中所</w:t>
      </w:r>
      <w:r>
        <w:rPr>
          <w:spacing w:val="-12"/>
          <w:sz w:val="24"/>
          <w:szCs w:val="24"/>
        </w:rPr>
        <w:t>提出</w:t>
      </w:r>
      <w:r>
        <w:rPr>
          <w:sz w:val="24"/>
          <w:szCs w:val="24"/>
        </w:rPr>
        <w:t xml:space="preserve">  </w:t>
      </w:r>
      <w:r>
        <w:rPr>
          <w:spacing w:val="-14"/>
          <w:sz w:val="24"/>
          <w:szCs w:val="24"/>
        </w:rPr>
        <w:t>的要求应视为已被乙方接受。</w:t>
      </w:r>
    </w:p>
    <w:p>
      <w:pPr>
        <w:pStyle w:val="2"/>
        <w:spacing w:before="33" w:line="310" w:lineRule="auto"/>
        <w:ind w:right="11" w:firstLine="449"/>
        <w:jc w:val="both"/>
        <w:rPr>
          <w:sz w:val="24"/>
          <w:szCs w:val="24"/>
        </w:rPr>
      </w:pPr>
      <w:r>
        <w:rPr>
          <w:spacing w:val="-8"/>
          <w:sz w:val="24"/>
          <w:szCs w:val="24"/>
        </w:rPr>
        <w:t>5.乙方在收到通知后虽答复，但没有弥补缺陷，甲方可采取必要的补救措施，但由此引发的</w:t>
      </w:r>
      <w:r>
        <w:rPr>
          <w:spacing w:val="6"/>
          <w:sz w:val="24"/>
          <w:szCs w:val="24"/>
        </w:rPr>
        <w:t xml:space="preserve"> </w:t>
      </w:r>
      <w:r>
        <w:rPr>
          <w:spacing w:val="-9"/>
          <w:sz w:val="24"/>
          <w:szCs w:val="24"/>
        </w:rPr>
        <w:t>风险和费用将由乙方承担。甲方可从合同款或乙方提交的履约保证金中扣</w:t>
      </w:r>
      <w:r>
        <w:rPr>
          <w:spacing w:val="-10"/>
          <w:sz w:val="24"/>
          <w:szCs w:val="24"/>
        </w:rPr>
        <w:t>款，不足部分，甲方有</w:t>
      </w:r>
      <w:r>
        <w:rPr>
          <w:sz w:val="24"/>
          <w:szCs w:val="24"/>
        </w:rPr>
        <w:t xml:space="preserve"> </w:t>
      </w:r>
      <w:r>
        <w:rPr>
          <w:spacing w:val="-13"/>
          <w:sz w:val="24"/>
          <w:szCs w:val="24"/>
        </w:rPr>
        <w:t>权要求乙方赔偿。甲方根据合同规定对乙方行使的其他权力不受影响。</w:t>
      </w:r>
    </w:p>
    <w:p>
      <w:pPr>
        <w:pStyle w:val="2"/>
        <w:spacing w:before="52" w:line="314" w:lineRule="auto"/>
        <w:ind w:right="18" w:firstLine="449"/>
        <w:jc w:val="both"/>
        <w:rPr>
          <w:sz w:val="24"/>
          <w:szCs w:val="24"/>
        </w:rPr>
      </w:pPr>
      <w:r>
        <w:rPr>
          <w:spacing w:val="-8"/>
          <w:sz w:val="24"/>
          <w:szCs w:val="24"/>
        </w:rPr>
        <w:t>6.质量保证期内乙方免费维修，包括设备的零配件及国内不能解决的故障需要返回生产厂维</w:t>
      </w:r>
      <w:r>
        <w:rPr>
          <w:sz w:val="24"/>
          <w:szCs w:val="24"/>
        </w:rPr>
        <w:t xml:space="preserve"> </w:t>
      </w:r>
      <w:r>
        <w:rPr>
          <w:spacing w:val="-8"/>
          <w:sz w:val="24"/>
          <w:szCs w:val="24"/>
        </w:rPr>
        <w:t>修时所发生的一切费用。须更换的零配件乙方</w:t>
      </w:r>
      <w:r>
        <w:rPr>
          <w:spacing w:val="-9"/>
          <w:sz w:val="24"/>
          <w:szCs w:val="24"/>
        </w:rPr>
        <w:t>保证原厂原装，如遇系统更新升级，乙方免费负责</w:t>
      </w:r>
      <w:r>
        <w:rPr>
          <w:sz w:val="24"/>
          <w:szCs w:val="24"/>
        </w:rPr>
        <w:t xml:space="preserve"> </w:t>
      </w:r>
      <w:r>
        <w:rPr>
          <w:spacing w:val="-9"/>
          <w:sz w:val="24"/>
          <w:szCs w:val="24"/>
        </w:rPr>
        <w:t>更新原装正版系统。质保期满后，乙方负责设备的终身维修。甲方如需更换</w:t>
      </w:r>
      <w:r>
        <w:rPr>
          <w:spacing w:val="-10"/>
          <w:sz w:val="24"/>
          <w:szCs w:val="24"/>
        </w:rPr>
        <w:t>设备的零配件，乙方</w:t>
      </w:r>
      <w:r>
        <w:rPr>
          <w:sz w:val="24"/>
          <w:szCs w:val="24"/>
        </w:rPr>
        <w:t xml:space="preserve"> </w:t>
      </w:r>
      <w:r>
        <w:rPr>
          <w:spacing w:val="-12"/>
          <w:sz w:val="24"/>
          <w:szCs w:val="24"/>
        </w:rPr>
        <w:t>保证更换的零配件为原厂原装，并只收取零配件</w:t>
      </w:r>
      <w:r>
        <w:rPr>
          <w:spacing w:val="-13"/>
          <w:sz w:val="24"/>
          <w:szCs w:val="24"/>
        </w:rPr>
        <w:t>的成本费，同时由乙方负责更换调试合格。</w:t>
      </w:r>
    </w:p>
    <w:p>
      <w:pPr>
        <w:pStyle w:val="2"/>
        <w:spacing w:before="48" w:line="222" w:lineRule="auto"/>
        <w:rPr>
          <w:sz w:val="24"/>
          <w:szCs w:val="24"/>
        </w:rPr>
      </w:pPr>
      <w:r>
        <w:rPr>
          <w:spacing w:val="-2"/>
          <w:sz w:val="24"/>
          <w:szCs w:val="24"/>
        </w:rPr>
        <w:t>第六条权利保证</w:t>
      </w:r>
    </w:p>
    <w:p>
      <w:pPr>
        <w:spacing w:line="222" w:lineRule="auto"/>
        <w:rPr>
          <w:sz w:val="24"/>
          <w:szCs w:val="24"/>
        </w:rPr>
        <w:sectPr>
          <w:pgSz w:w="11900" w:h="16840"/>
          <w:pgMar w:top="1410" w:right="1088" w:bottom="0" w:left="1070" w:header="0" w:footer="0" w:gutter="0"/>
          <w:cols w:space="720" w:num="1"/>
        </w:sectPr>
      </w:pPr>
    </w:p>
    <w:p>
      <w:pPr>
        <w:pStyle w:val="2"/>
        <w:spacing w:before="48" w:line="221" w:lineRule="auto"/>
        <w:ind w:left="459"/>
        <w:rPr>
          <w:sz w:val="24"/>
          <w:szCs w:val="24"/>
        </w:rPr>
      </w:pPr>
      <w:r>
        <w:rPr>
          <w:spacing w:val="-15"/>
          <w:sz w:val="24"/>
          <w:szCs w:val="24"/>
        </w:rPr>
        <w:t>1.乙方保证对其出售的货物享有合法的权利。</w:t>
      </w:r>
    </w:p>
    <w:p>
      <w:pPr>
        <w:pStyle w:val="2"/>
        <w:spacing w:before="122" w:line="326" w:lineRule="auto"/>
        <w:ind w:right="450" w:firstLine="459"/>
        <w:rPr>
          <w:sz w:val="24"/>
          <w:szCs w:val="24"/>
        </w:rPr>
      </w:pPr>
      <w:r>
        <w:rPr>
          <w:rFonts w:ascii="宋体" w:hAnsi="宋体" w:eastAsia="宋体" w:cs="宋体"/>
          <w:spacing w:val="-7"/>
          <w:sz w:val="24"/>
          <w:szCs w:val="24"/>
        </w:rPr>
        <w:t>2.</w:t>
      </w:r>
      <w:r>
        <w:rPr>
          <w:spacing w:val="-7"/>
          <w:sz w:val="24"/>
          <w:szCs w:val="24"/>
        </w:rPr>
        <w:t>乙方保证对其出售的货物上不存在任何未曾向甲方透露的担</w:t>
      </w:r>
      <w:r>
        <w:rPr>
          <w:spacing w:val="-8"/>
          <w:sz w:val="24"/>
          <w:szCs w:val="24"/>
        </w:rPr>
        <w:t>保物权，如抵押权、质押</w:t>
      </w:r>
      <w:r>
        <w:rPr>
          <w:sz w:val="24"/>
          <w:szCs w:val="24"/>
        </w:rPr>
        <w:t xml:space="preserve"> </w:t>
      </w:r>
      <w:r>
        <w:rPr>
          <w:spacing w:val="-14"/>
          <w:sz w:val="24"/>
          <w:szCs w:val="24"/>
        </w:rPr>
        <w:t>权、留置权。</w:t>
      </w:r>
    </w:p>
    <w:p>
      <w:pPr>
        <w:pStyle w:val="2"/>
        <w:spacing w:before="12" w:line="302" w:lineRule="auto"/>
        <w:ind w:right="224" w:firstLine="459"/>
        <w:rPr>
          <w:sz w:val="24"/>
          <w:szCs w:val="24"/>
        </w:rPr>
      </w:pPr>
      <w:r>
        <w:rPr>
          <w:rFonts w:ascii="宋体" w:hAnsi="宋体" w:eastAsia="宋体" w:cs="宋体"/>
          <w:spacing w:val="-7"/>
          <w:sz w:val="24"/>
          <w:szCs w:val="24"/>
        </w:rPr>
        <w:t>3.</w:t>
      </w:r>
      <w:r>
        <w:rPr>
          <w:spacing w:val="-7"/>
          <w:sz w:val="24"/>
          <w:szCs w:val="24"/>
        </w:rPr>
        <w:t>乙方保证对其出售的货物或其任何一部分没有</w:t>
      </w:r>
      <w:r>
        <w:rPr>
          <w:spacing w:val="-8"/>
          <w:sz w:val="24"/>
          <w:szCs w:val="24"/>
        </w:rPr>
        <w:t>侵犯第三方的专利权、版权、商标权或其</w:t>
      </w:r>
      <w:r>
        <w:rPr>
          <w:sz w:val="24"/>
          <w:szCs w:val="24"/>
        </w:rPr>
        <w:t xml:space="preserve"> </w:t>
      </w:r>
      <w:r>
        <w:rPr>
          <w:spacing w:val="-8"/>
          <w:sz w:val="24"/>
          <w:szCs w:val="24"/>
        </w:rPr>
        <w:t>他权利。</w:t>
      </w:r>
    </w:p>
    <w:p>
      <w:pPr>
        <w:pStyle w:val="2"/>
        <w:spacing w:before="33" w:line="317" w:lineRule="auto"/>
        <w:ind w:right="2748" w:firstLine="459"/>
        <w:rPr>
          <w:sz w:val="24"/>
          <w:szCs w:val="24"/>
        </w:rPr>
      </w:pPr>
      <w:r>
        <w:rPr>
          <w:spacing w:val="-14"/>
          <w:sz w:val="24"/>
          <w:szCs w:val="24"/>
        </w:rPr>
        <w:t>4.如甲方在使用该货物构成上述侵权的，则由乙方承担全部责任。</w:t>
      </w:r>
      <w:r>
        <w:rPr>
          <w:sz w:val="24"/>
          <w:szCs w:val="24"/>
        </w:rPr>
        <w:t xml:space="preserve"> </w:t>
      </w:r>
      <w:r>
        <w:rPr>
          <w:spacing w:val="-5"/>
          <w:sz w:val="24"/>
          <w:szCs w:val="24"/>
        </w:rPr>
        <w:t>第七条售后服务及培训</w:t>
      </w:r>
    </w:p>
    <w:p>
      <w:pPr>
        <w:pStyle w:val="2"/>
        <w:spacing w:before="37" w:line="221" w:lineRule="auto"/>
        <w:ind w:left="459"/>
        <w:rPr>
          <w:sz w:val="24"/>
          <w:szCs w:val="24"/>
        </w:rPr>
      </w:pPr>
      <w:r>
        <w:rPr>
          <w:spacing w:val="-8"/>
          <w:sz w:val="24"/>
          <w:szCs w:val="24"/>
        </w:rPr>
        <w:t>1.乙方应按照国家有关法律法规以及招标文件要求和投标文件的售后方案提供服务。</w:t>
      </w:r>
    </w:p>
    <w:p>
      <w:pPr>
        <w:pStyle w:val="2"/>
        <w:spacing w:before="112" w:line="320" w:lineRule="auto"/>
        <w:ind w:right="11" w:firstLine="459"/>
        <w:rPr>
          <w:sz w:val="24"/>
          <w:szCs w:val="24"/>
        </w:rPr>
      </w:pPr>
      <w:r>
        <w:rPr>
          <w:spacing w:val="-8"/>
          <w:sz w:val="24"/>
          <w:szCs w:val="24"/>
        </w:rPr>
        <w:t>2.乙方负责提供仪器设备相应的技术资料，包括产品合格证、产品保修单、安装使用及维护</w:t>
      </w:r>
      <w:r>
        <w:rPr>
          <w:spacing w:val="4"/>
          <w:sz w:val="24"/>
          <w:szCs w:val="24"/>
        </w:rPr>
        <w:t xml:space="preserve"> </w:t>
      </w:r>
      <w:r>
        <w:rPr>
          <w:spacing w:val="-14"/>
          <w:sz w:val="24"/>
          <w:szCs w:val="24"/>
        </w:rPr>
        <w:t>说明书以及运输装箱清单等，并对所有技术材料的真实性、准确性、先进性、完整性负责。</w:t>
      </w:r>
    </w:p>
    <w:p>
      <w:pPr>
        <w:pStyle w:val="2"/>
        <w:spacing w:before="9" w:line="325" w:lineRule="auto"/>
        <w:ind w:right="223" w:firstLine="459"/>
        <w:rPr>
          <w:sz w:val="24"/>
          <w:szCs w:val="24"/>
        </w:rPr>
      </w:pPr>
      <w:r>
        <w:rPr>
          <w:spacing w:val="-7"/>
          <w:sz w:val="24"/>
          <w:szCs w:val="24"/>
        </w:rPr>
        <w:t>3.人员培训：乙方免费为甲方培训设备使用人员，</w:t>
      </w:r>
      <w:r>
        <w:rPr>
          <w:spacing w:val="-8"/>
          <w:sz w:val="24"/>
          <w:szCs w:val="24"/>
        </w:rPr>
        <w:t>培训内容包括：设备操作、维护、简单</w:t>
      </w:r>
      <w:r>
        <w:rPr>
          <w:sz w:val="24"/>
          <w:szCs w:val="24"/>
        </w:rPr>
        <w:t xml:space="preserve"> </w:t>
      </w:r>
      <w:r>
        <w:rPr>
          <w:spacing w:val="-12"/>
          <w:sz w:val="24"/>
          <w:szCs w:val="24"/>
        </w:rPr>
        <w:t>维修等。</w:t>
      </w:r>
    </w:p>
    <w:p>
      <w:pPr>
        <w:pStyle w:val="2"/>
        <w:spacing w:before="4" w:line="221" w:lineRule="auto"/>
        <w:ind w:left="459"/>
        <w:rPr>
          <w:sz w:val="24"/>
          <w:szCs w:val="24"/>
        </w:rPr>
      </w:pPr>
      <w:r>
        <w:rPr>
          <w:spacing w:val="-6"/>
          <w:sz w:val="24"/>
          <w:szCs w:val="24"/>
        </w:rPr>
        <w:t>4.售后服务：质保期内乙方对甲方提出的服务响应不得超出小时。</w:t>
      </w:r>
    </w:p>
    <w:p>
      <w:pPr>
        <w:pStyle w:val="2"/>
        <w:spacing w:before="153" w:line="221" w:lineRule="auto"/>
        <w:rPr>
          <w:sz w:val="24"/>
          <w:szCs w:val="24"/>
        </w:rPr>
      </w:pPr>
      <w:r>
        <w:rPr>
          <w:spacing w:val="-2"/>
          <w:sz w:val="24"/>
          <w:szCs w:val="24"/>
        </w:rPr>
        <w:t>第八条违约责任</w:t>
      </w:r>
    </w:p>
    <w:p>
      <w:pPr>
        <w:pStyle w:val="2"/>
        <w:spacing w:before="123" w:line="221" w:lineRule="auto"/>
        <w:ind w:left="459"/>
        <w:rPr>
          <w:sz w:val="24"/>
          <w:szCs w:val="24"/>
        </w:rPr>
      </w:pPr>
      <w:r>
        <w:rPr>
          <w:spacing w:val="-9"/>
          <w:sz w:val="24"/>
          <w:szCs w:val="24"/>
        </w:rPr>
        <w:t>1.甲方违约责任</w:t>
      </w:r>
    </w:p>
    <w:p>
      <w:pPr>
        <w:pStyle w:val="2"/>
        <w:spacing w:before="132" w:line="213" w:lineRule="auto"/>
        <w:ind w:left="459"/>
        <w:rPr>
          <w:sz w:val="24"/>
          <w:szCs w:val="24"/>
        </w:rPr>
      </w:pPr>
      <w:r>
        <w:rPr>
          <w:spacing w:val="2"/>
          <w:sz w:val="24"/>
          <w:szCs w:val="24"/>
        </w:rPr>
        <w:t>(1)甲方无正当理由拒收货物的，甲方应偿付合同总价   %的违约金；</w:t>
      </w:r>
    </w:p>
    <w:p>
      <w:pPr>
        <w:pStyle w:val="2"/>
        <w:spacing w:before="133" w:line="276" w:lineRule="auto"/>
        <w:ind w:right="195" w:firstLine="459"/>
        <w:rPr>
          <w:sz w:val="24"/>
          <w:szCs w:val="24"/>
        </w:rPr>
      </w:pPr>
      <w:r>
        <w:rPr>
          <w:spacing w:val="-2"/>
          <w:sz w:val="24"/>
          <w:szCs w:val="24"/>
        </w:rPr>
        <w:t>(2)甲方逾期支付货款的，除应及时付足货款外，应向乙方每天支付欠款总额</w:t>
      </w:r>
      <w:r>
        <w:rPr>
          <w:spacing w:val="59"/>
          <w:sz w:val="24"/>
          <w:szCs w:val="24"/>
        </w:rPr>
        <w:t xml:space="preserve">  </w:t>
      </w:r>
      <w:r>
        <w:rPr>
          <w:spacing w:val="-2"/>
          <w:sz w:val="24"/>
          <w:szCs w:val="24"/>
        </w:rPr>
        <w:t>%</w:t>
      </w:r>
      <w:r>
        <w:rPr>
          <w:spacing w:val="-29"/>
          <w:sz w:val="24"/>
          <w:szCs w:val="24"/>
        </w:rPr>
        <w:t xml:space="preserve"> </w:t>
      </w:r>
      <w:r>
        <w:rPr>
          <w:spacing w:val="-2"/>
          <w:sz w:val="24"/>
          <w:szCs w:val="24"/>
        </w:rPr>
        <w:t>的</w:t>
      </w:r>
      <w:r>
        <w:rPr>
          <w:spacing w:val="-42"/>
          <w:sz w:val="24"/>
          <w:szCs w:val="24"/>
        </w:rPr>
        <w:t xml:space="preserve"> </w:t>
      </w:r>
      <w:r>
        <w:rPr>
          <w:spacing w:val="-2"/>
          <w:sz w:val="24"/>
          <w:szCs w:val="24"/>
        </w:rPr>
        <w:t>滞</w:t>
      </w:r>
      <w:r>
        <w:rPr>
          <w:sz w:val="24"/>
          <w:szCs w:val="24"/>
        </w:rPr>
        <w:t xml:space="preserve"> </w:t>
      </w:r>
      <w:r>
        <w:rPr>
          <w:spacing w:val="-7"/>
          <w:sz w:val="24"/>
          <w:szCs w:val="24"/>
        </w:rPr>
        <w:t>纳金：但累计滞纳金总额不超过欠款总额的   %。</w:t>
      </w:r>
    </w:p>
    <w:p>
      <w:pPr>
        <w:pStyle w:val="2"/>
        <w:spacing w:before="133" w:line="221" w:lineRule="auto"/>
        <w:ind w:left="459"/>
        <w:rPr>
          <w:sz w:val="24"/>
          <w:szCs w:val="24"/>
        </w:rPr>
      </w:pPr>
      <w:r>
        <w:rPr>
          <w:rFonts w:ascii="宋体" w:hAnsi="宋体" w:eastAsia="宋体" w:cs="宋体"/>
          <w:spacing w:val="-7"/>
          <w:sz w:val="24"/>
          <w:szCs w:val="24"/>
        </w:rPr>
        <w:t>2.</w:t>
      </w:r>
      <w:r>
        <w:rPr>
          <w:spacing w:val="-7"/>
          <w:sz w:val="24"/>
          <w:szCs w:val="24"/>
        </w:rPr>
        <w:t>乙方违约责任</w:t>
      </w:r>
    </w:p>
    <w:p>
      <w:pPr>
        <w:pStyle w:val="2"/>
        <w:spacing w:before="122" w:line="272" w:lineRule="auto"/>
        <w:ind w:right="49" w:firstLine="459"/>
        <w:rPr>
          <w:sz w:val="24"/>
          <w:szCs w:val="24"/>
        </w:rPr>
      </w:pPr>
      <w:r>
        <w:rPr>
          <w:spacing w:val="-6"/>
          <w:sz w:val="24"/>
          <w:szCs w:val="24"/>
        </w:rPr>
        <w:t>(1)如乙方不能交付货物，甲方有权扣留全部履约保证金；同时乙方应向甲方支付合同总价</w:t>
      </w:r>
      <w:r>
        <w:rPr>
          <w:spacing w:val="4"/>
          <w:sz w:val="24"/>
          <w:szCs w:val="24"/>
        </w:rPr>
        <w:t xml:space="preserve"> </w:t>
      </w:r>
      <w:r>
        <w:rPr>
          <w:spacing w:val="18"/>
          <w:sz w:val="24"/>
          <w:szCs w:val="24"/>
        </w:rPr>
        <w:t>_%的违约金；</w:t>
      </w:r>
    </w:p>
    <w:p>
      <w:pPr>
        <w:pStyle w:val="2"/>
        <w:spacing w:before="135" w:line="286" w:lineRule="auto"/>
        <w:ind w:right="37" w:firstLine="459"/>
        <w:rPr>
          <w:sz w:val="24"/>
          <w:szCs w:val="24"/>
        </w:rPr>
      </w:pPr>
      <w:r>
        <w:rPr>
          <w:sz w:val="24"/>
          <w:szCs w:val="24"/>
        </w:rPr>
        <w:t>(2)乙方逾期交付货物的，每逾期1天，乙方向甲方偿付逾期交付部分货款总额的</w:t>
      </w:r>
      <w:r>
        <w:rPr>
          <w:spacing w:val="35"/>
          <w:sz w:val="24"/>
          <w:szCs w:val="24"/>
        </w:rPr>
        <w:t xml:space="preserve">  </w:t>
      </w:r>
      <w:r>
        <w:rPr>
          <w:sz w:val="24"/>
          <w:szCs w:val="24"/>
        </w:rPr>
        <w:t>%</w:t>
      </w:r>
      <w:r>
        <w:rPr>
          <w:spacing w:val="59"/>
          <w:sz w:val="24"/>
          <w:szCs w:val="24"/>
        </w:rPr>
        <w:t xml:space="preserve"> </w:t>
      </w:r>
      <w:r>
        <w:rPr>
          <w:sz w:val="24"/>
          <w:szCs w:val="24"/>
        </w:rPr>
        <w:t xml:space="preserve">的 </w:t>
      </w:r>
      <w:r>
        <w:rPr>
          <w:spacing w:val="-5"/>
          <w:sz w:val="24"/>
          <w:szCs w:val="24"/>
        </w:rPr>
        <w:t>滞纳金。如乙方逾期交付达  天，甲方有权解除合同，解除合同的通知自到达乙方时生效，乙</w:t>
      </w:r>
      <w:r>
        <w:rPr>
          <w:spacing w:val="7"/>
          <w:sz w:val="24"/>
          <w:szCs w:val="24"/>
        </w:rPr>
        <w:t xml:space="preserve"> </w:t>
      </w:r>
      <w:r>
        <w:rPr>
          <w:spacing w:val="-3"/>
          <w:sz w:val="24"/>
          <w:szCs w:val="24"/>
        </w:rPr>
        <w:t>方应向甲方支付合同总价的</w:t>
      </w:r>
      <w:r>
        <w:rPr>
          <w:spacing w:val="59"/>
          <w:sz w:val="24"/>
          <w:szCs w:val="24"/>
        </w:rPr>
        <w:t xml:space="preserve">  </w:t>
      </w:r>
      <w:r>
        <w:rPr>
          <w:spacing w:val="-3"/>
          <w:sz w:val="24"/>
          <w:szCs w:val="24"/>
        </w:rPr>
        <w:t>%违约金，违约金不足以弥补甲方损失的，由乙方另行支付；</w:t>
      </w:r>
    </w:p>
    <w:p>
      <w:pPr>
        <w:pStyle w:val="2"/>
        <w:spacing w:before="143" w:line="268" w:lineRule="auto"/>
        <w:ind w:right="68" w:firstLine="459"/>
        <w:rPr>
          <w:sz w:val="24"/>
          <w:szCs w:val="24"/>
        </w:rPr>
      </w:pPr>
      <w:r>
        <w:rPr>
          <w:spacing w:val="-6"/>
          <w:sz w:val="24"/>
          <w:szCs w:val="24"/>
        </w:rPr>
        <w:t>(3)乙方所交付的货物品种、型号、规格不符合合同规定</w:t>
      </w:r>
      <w:r>
        <w:rPr>
          <w:spacing w:val="-7"/>
          <w:sz w:val="24"/>
          <w:szCs w:val="24"/>
        </w:rPr>
        <w:t>的，甲方有权拒收。甲方拒收的，</w:t>
      </w:r>
      <w:r>
        <w:rPr>
          <w:sz w:val="24"/>
          <w:szCs w:val="24"/>
        </w:rPr>
        <w:t xml:space="preserve"> 乙方应向甲方支付货款总额   %的违约金，并按甲方要求予以免费更换；</w:t>
      </w:r>
    </w:p>
    <w:p>
      <w:pPr>
        <w:pStyle w:val="2"/>
        <w:spacing w:before="143" w:line="301" w:lineRule="auto"/>
        <w:ind w:firstLine="459"/>
        <w:rPr>
          <w:sz w:val="24"/>
          <w:szCs w:val="24"/>
        </w:rPr>
      </w:pPr>
      <w:r>
        <w:rPr>
          <w:sz w:val="24"/>
          <w:szCs w:val="24"/>
        </w:rPr>
        <w:t>(4)乙方货物经甲方送交具有法定资格条件的</w:t>
      </w:r>
      <w:r>
        <w:rPr>
          <w:spacing w:val="-1"/>
          <w:sz w:val="24"/>
          <w:szCs w:val="24"/>
        </w:rPr>
        <w:t>质量技术监督机构检测后，如检测结果认定</w:t>
      </w:r>
      <w:r>
        <w:rPr>
          <w:sz w:val="24"/>
          <w:szCs w:val="24"/>
        </w:rPr>
        <w:t xml:space="preserve"> </w:t>
      </w:r>
      <w:r>
        <w:rPr>
          <w:spacing w:val="-3"/>
          <w:sz w:val="24"/>
          <w:szCs w:val="24"/>
        </w:rPr>
        <w:t>货物质量不符合本合同规定标准的，则视为乙方没有按时交付而</w:t>
      </w:r>
      <w:r>
        <w:rPr>
          <w:spacing w:val="-4"/>
          <w:sz w:val="24"/>
          <w:szCs w:val="24"/>
        </w:rPr>
        <w:t>违约，乙方须在  天内无条件</w:t>
      </w:r>
      <w:r>
        <w:rPr>
          <w:sz w:val="24"/>
          <w:szCs w:val="24"/>
        </w:rPr>
        <w:t xml:space="preserve"> </w:t>
      </w:r>
      <w:r>
        <w:rPr>
          <w:spacing w:val="-3"/>
          <w:sz w:val="24"/>
          <w:szCs w:val="24"/>
        </w:rPr>
        <w:t>更换合格的货物，如逾期不能更换合格的货物，甲方有权解除本合同，合</w:t>
      </w:r>
      <w:r>
        <w:rPr>
          <w:spacing w:val="-4"/>
          <w:sz w:val="24"/>
          <w:szCs w:val="24"/>
        </w:rPr>
        <w:t>同自书面解除通知到</w:t>
      </w:r>
      <w:r>
        <w:rPr>
          <w:sz w:val="24"/>
          <w:szCs w:val="24"/>
        </w:rPr>
        <w:t xml:space="preserve"> </w:t>
      </w:r>
      <w:r>
        <w:rPr>
          <w:spacing w:val="1"/>
          <w:sz w:val="24"/>
          <w:szCs w:val="24"/>
        </w:rPr>
        <w:t>达乙方之日起解除，乙方应另向甲方支付货款总额的  %的</w:t>
      </w:r>
      <w:r>
        <w:rPr>
          <w:sz w:val="24"/>
          <w:szCs w:val="24"/>
        </w:rPr>
        <w:t xml:space="preserve">违约金，违约金不足以弥补甲方损 </w:t>
      </w:r>
      <w:r>
        <w:rPr>
          <w:spacing w:val="-5"/>
          <w:sz w:val="24"/>
          <w:szCs w:val="24"/>
        </w:rPr>
        <w:t>失的，由乙方另行支付；</w:t>
      </w:r>
    </w:p>
    <w:p>
      <w:pPr>
        <w:spacing w:line="301" w:lineRule="auto"/>
        <w:rPr>
          <w:sz w:val="24"/>
          <w:szCs w:val="24"/>
        </w:rPr>
        <w:sectPr>
          <w:pgSz w:w="11900" w:h="16840"/>
          <w:pgMar w:top="1409" w:right="1091" w:bottom="0" w:left="1060" w:header="0" w:footer="0" w:gutter="0"/>
          <w:cols w:space="720" w:num="1"/>
        </w:sectPr>
      </w:pPr>
    </w:p>
    <w:p>
      <w:pPr>
        <w:pStyle w:val="2"/>
        <w:spacing w:before="49" w:line="281" w:lineRule="auto"/>
        <w:ind w:firstLine="419"/>
        <w:rPr>
          <w:sz w:val="24"/>
          <w:szCs w:val="24"/>
        </w:rPr>
      </w:pPr>
      <w:r>
        <w:rPr>
          <w:spacing w:val="4"/>
          <w:sz w:val="24"/>
          <w:szCs w:val="24"/>
        </w:rPr>
        <w:t>(5)在乙方承诺的或国家规定的质量保证期内(取两者中最长的期限),如经乙方两次维</w:t>
      </w:r>
      <w:r>
        <w:rPr>
          <w:spacing w:val="6"/>
          <w:sz w:val="24"/>
          <w:szCs w:val="24"/>
        </w:rPr>
        <w:t xml:space="preserve">  </w:t>
      </w:r>
      <w:r>
        <w:rPr>
          <w:spacing w:val="-5"/>
          <w:sz w:val="24"/>
          <w:szCs w:val="24"/>
        </w:rPr>
        <w:t>修或更换，货物仍不能达到合同约定的质量标准，甲方有权退货，乙方应退回全部货款，并按</w:t>
      </w:r>
      <w:r>
        <w:rPr>
          <w:spacing w:val="15"/>
          <w:sz w:val="24"/>
          <w:szCs w:val="24"/>
        </w:rPr>
        <w:t xml:space="preserve"> </w:t>
      </w:r>
      <w:r>
        <w:rPr>
          <w:spacing w:val="3"/>
          <w:sz w:val="24"/>
          <w:szCs w:val="24"/>
        </w:rPr>
        <w:t>第3款处理，同时，乙方还须赔偿甲方因此遭受的损失；</w:t>
      </w:r>
    </w:p>
    <w:p>
      <w:pPr>
        <w:pStyle w:val="2"/>
        <w:spacing w:before="163" w:line="260" w:lineRule="auto"/>
        <w:ind w:right="31" w:firstLine="419"/>
        <w:rPr>
          <w:sz w:val="24"/>
          <w:szCs w:val="24"/>
        </w:rPr>
      </w:pPr>
      <w:r>
        <w:rPr>
          <w:spacing w:val="-4"/>
          <w:sz w:val="24"/>
          <w:szCs w:val="24"/>
        </w:rPr>
        <w:t>(6)乙方未按本合同的规定和售后服务方案提供伴随服务/售后服务的，应按合同总价款的</w:t>
      </w:r>
      <w:r>
        <w:rPr>
          <w:spacing w:val="3"/>
          <w:sz w:val="24"/>
          <w:szCs w:val="24"/>
        </w:rPr>
        <w:t xml:space="preserve"> </w:t>
      </w:r>
      <w:r>
        <w:rPr>
          <w:spacing w:val="6"/>
          <w:sz w:val="24"/>
          <w:szCs w:val="24"/>
        </w:rPr>
        <w:t>%向甲方承担违约责任；</w:t>
      </w:r>
    </w:p>
    <w:p>
      <w:pPr>
        <w:pStyle w:val="2"/>
        <w:spacing w:before="145" w:line="291" w:lineRule="auto"/>
        <w:ind w:right="37" w:firstLine="419"/>
        <w:rPr>
          <w:sz w:val="24"/>
          <w:szCs w:val="24"/>
        </w:rPr>
      </w:pPr>
      <w:r>
        <w:rPr>
          <w:spacing w:val="6"/>
          <w:sz w:val="24"/>
          <w:szCs w:val="24"/>
        </w:rPr>
        <w:t>(7)乙方在承担上述1-6款一项或多项违约责任后，仍</w:t>
      </w:r>
      <w:r>
        <w:rPr>
          <w:spacing w:val="5"/>
          <w:sz w:val="24"/>
          <w:szCs w:val="24"/>
        </w:rPr>
        <w:t>应继续履行合同规定的义务(甲</w:t>
      </w:r>
      <w:r>
        <w:rPr>
          <w:sz w:val="24"/>
          <w:szCs w:val="24"/>
        </w:rPr>
        <w:t xml:space="preserve">  </w:t>
      </w:r>
      <w:r>
        <w:rPr>
          <w:spacing w:val="-3"/>
          <w:sz w:val="24"/>
          <w:szCs w:val="24"/>
        </w:rPr>
        <w:t>方解除合同的除外)。甲方未能及时追究乙方的任何一项违约责任并不表明甲方放弃追究乙方</w:t>
      </w:r>
      <w:r>
        <w:rPr>
          <w:spacing w:val="16"/>
          <w:sz w:val="24"/>
          <w:szCs w:val="24"/>
        </w:rPr>
        <w:t xml:space="preserve"> </w:t>
      </w:r>
      <w:r>
        <w:rPr>
          <w:spacing w:val="-5"/>
          <w:sz w:val="24"/>
          <w:szCs w:val="24"/>
        </w:rPr>
        <w:t>该项或其他违约责任；</w:t>
      </w:r>
    </w:p>
    <w:p>
      <w:pPr>
        <w:pStyle w:val="2"/>
        <w:spacing w:before="112" w:line="280" w:lineRule="auto"/>
        <w:ind w:right="113" w:firstLine="419"/>
        <w:rPr>
          <w:sz w:val="24"/>
          <w:szCs w:val="24"/>
        </w:rPr>
      </w:pPr>
      <w:r>
        <w:rPr>
          <w:spacing w:val="-3"/>
          <w:sz w:val="24"/>
          <w:szCs w:val="24"/>
        </w:rPr>
        <w:t>(8)乙方偿付的违约金不足以弥补甲方损失的，还应按甲方损失尚未弥补的部分，</w:t>
      </w:r>
      <w:r>
        <w:rPr>
          <w:spacing w:val="-4"/>
          <w:sz w:val="24"/>
          <w:szCs w:val="24"/>
        </w:rPr>
        <w:t>支付赔</w:t>
      </w:r>
      <w:r>
        <w:rPr>
          <w:sz w:val="24"/>
          <w:szCs w:val="24"/>
        </w:rPr>
        <w:t xml:space="preserve"> </w:t>
      </w:r>
      <w:r>
        <w:rPr>
          <w:spacing w:val="-13"/>
          <w:sz w:val="24"/>
          <w:szCs w:val="24"/>
        </w:rPr>
        <w:t>偿金给甲方。</w:t>
      </w:r>
    </w:p>
    <w:p>
      <w:pPr>
        <w:pStyle w:val="2"/>
        <w:spacing w:before="133" w:line="222" w:lineRule="auto"/>
        <w:rPr>
          <w:sz w:val="24"/>
          <w:szCs w:val="24"/>
        </w:rPr>
      </w:pPr>
      <w:r>
        <w:rPr>
          <w:spacing w:val="-6"/>
          <w:sz w:val="24"/>
          <w:szCs w:val="24"/>
        </w:rPr>
        <w:t>第九条合同的变更和终止</w:t>
      </w:r>
    </w:p>
    <w:p>
      <w:pPr>
        <w:pStyle w:val="2"/>
        <w:spacing w:before="130" w:line="297" w:lineRule="auto"/>
        <w:ind w:right="1" w:firstLine="419"/>
        <w:rPr>
          <w:sz w:val="24"/>
          <w:szCs w:val="24"/>
        </w:rPr>
      </w:pPr>
      <w:r>
        <w:rPr>
          <w:spacing w:val="9"/>
          <w:sz w:val="24"/>
          <w:szCs w:val="24"/>
        </w:rPr>
        <w:t>除《中华人民共和国政府采购法》第49条、第50条第二款规定的情形外，本合同一经</w:t>
      </w:r>
      <w:r>
        <w:rPr>
          <w:sz w:val="24"/>
          <w:szCs w:val="24"/>
        </w:rPr>
        <w:t xml:space="preserve"> </w:t>
      </w:r>
      <w:r>
        <w:rPr>
          <w:spacing w:val="-1"/>
          <w:sz w:val="24"/>
          <w:szCs w:val="24"/>
        </w:rPr>
        <w:t>签订，甲乙双方不得擅自变更、中止或终止合同。</w:t>
      </w:r>
    </w:p>
    <w:p>
      <w:pPr>
        <w:pStyle w:val="2"/>
        <w:spacing w:before="69" w:line="222" w:lineRule="auto"/>
        <w:rPr>
          <w:sz w:val="24"/>
          <w:szCs w:val="24"/>
        </w:rPr>
      </w:pPr>
      <w:r>
        <w:rPr>
          <w:spacing w:val="-2"/>
          <w:sz w:val="24"/>
          <w:szCs w:val="24"/>
        </w:rPr>
        <w:t>第十条争议的解决</w:t>
      </w:r>
    </w:p>
    <w:p>
      <w:pPr>
        <w:pStyle w:val="2"/>
        <w:spacing w:before="130" w:line="305" w:lineRule="auto"/>
        <w:ind w:right="110" w:firstLine="419"/>
        <w:rPr>
          <w:sz w:val="24"/>
          <w:szCs w:val="24"/>
        </w:rPr>
      </w:pPr>
      <w:r>
        <w:rPr>
          <w:rFonts w:ascii="宋体" w:hAnsi="宋体" w:eastAsia="宋体" w:cs="宋体"/>
          <w:spacing w:val="-6"/>
          <w:sz w:val="24"/>
          <w:szCs w:val="24"/>
        </w:rPr>
        <w:t>1.</w:t>
      </w:r>
      <w:r>
        <w:rPr>
          <w:spacing w:val="-6"/>
          <w:sz w:val="24"/>
          <w:szCs w:val="24"/>
        </w:rPr>
        <w:t>因货物的质量问题发生争议，由质量技术监督部门或其指定的质量鉴定机构进行质量鉴</w:t>
      </w:r>
      <w:r>
        <w:rPr>
          <w:spacing w:val="1"/>
          <w:sz w:val="24"/>
          <w:szCs w:val="24"/>
        </w:rPr>
        <w:t xml:space="preserve"> </w:t>
      </w:r>
      <w:r>
        <w:rPr>
          <w:spacing w:val="-9"/>
          <w:sz w:val="24"/>
          <w:szCs w:val="24"/>
        </w:rPr>
        <w:t>定。货物符合标准的，鉴定费由甲方承担；货物不符合质量标准的，鉴定费由乙方承担。</w:t>
      </w:r>
    </w:p>
    <w:p>
      <w:pPr>
        <w:pStyle w:val="2"/>
        <w:spacing w:before="37" w:line="305" w:lineRule="auto"/>
        <w:ind w:right="30" w:firstLine="419"/>
        <w:rPr>
          <w:sz w:val="24"/>
          <w:szCs w:val="24"/>
        </w:rPr>
      </w:pPr>
      <w:r>
        <w:rPr>
          <w:spacing w:val="-4"/>
          <w:sz w:val="24"/>
          <w:szCs w:val="24"/>
        </w:rPr>
        <w:t>2.因履行本合同引起的或与本合同有关的争议，甲、乙双方应首先通过友好协商解决，如</w:t>
      </w:r>
      <w:r>
        <w:rPr>
          <w:sz w:val="24"/>
          <w:szCs w:val="24"/>
        </w:rPr>
        <w:t xml:space="preserve"> </w:t>
      </w:r>
      <w:r>
        <w:rPr>
          <w:spacing w:val="5"/>
          <w:sz w:val="24"/>
          <w:szCs w:val="24"/>
        </w:rPr>
        <w:t>果协商开始后六十(60)天还未解决，则采取以下第</w:t>
      </w:r>
      <w:r>
        <w:rPr>
          <w:spacing w:val="36"/>
          <w:sz w:val="24"/>
          <w:szCs w:val="24"/>
        </w:rPr>
        <w:t xml:space="preserve">   </w:t>
      </w:r>
      <w:r>
        <w:rPr>
          <w:spacing w:val="5"/>
          <w:sz w:val="24"/>
          <w:szCs w:val="24"/>
        </w:rPr>
        <w:t>种方式解决争议：</w:t>
      </w:r>
    </w:p>
    <w:p>
      <w:pPr>
        <w:pStyle w:val="2"/>
        <w:spacing w:before="68" w:line="213" w:lineRule="auto"/>
        <w:ind w:left="419"/>
        <w:rPr>
          <w:sz w:val="24"/>
          <w:szCs w:val="24"/>
        </w:rPr>
      </w:pPr>
      <w:r>
        <w:rPr>
          <w:spacing w:val="-5"/>
          <w:sz w:val="24"/>
          <w:szCs w:val="24"/>
        </w:rPr>
        <w:t>(1)双方达成仲裁协议，向约定的仲裁委员会申请仲裁；</w:t>
      </w:r>
    </w:p>
    <w:p>
      <w:pPr>
        <w:pStyle w:val="2"/>
        <w:spacing w:before="142" w:line="220" w:lineRule="auto"/>
        <w:ind w:left="419"/>
        <w:rPr>
          <w:sz w:val="24"/>
          <w:szCs w:val="24"/>
        </w:rPr>
      </w:pPr>
      <w:r>
        <w:rPr>
          <w:spacing w:val="-9"/>
          <w:sz w:val="24"/>
          <w:szCs w:val="24"/>
        </w:rPr>
        <w:t>(2)向有管辖权的人民法院起诉。</w:t>
      </w:r>
    </w:p>
    <w:p>
      <w:pPr>
        <w:pStyle w:val="2"/>
        <w:spacing w:before="114" w:line="318" w:lineRule="auto"/>
        <w:ind w:right="5641" w:firstLine="419"/>
        <w:rPr>
          <w:sz w:val="24"/>
          <w:szCs w:val="24"/>
        </w:rPr>
      </w:pPr>
      <w:r>
        <w:rPr>
          <w:spacing w:val="-15"/>
          <w:sz w:val="24"/>
          <w:szCs w:val="24"/>
        </w:rPr>
        <w:t>3.在诉讼期间，本合同应继续履行。</w:t>
      </w:r>
      <w:r>
        <w:rPr>
          <w:spacing w:val="4"/>
          <w:sz w:val="24"/>
          <w:szCs w:val="24"/>
        </w:rPr>
        <w:t xml:space="preserve"> </w:t>
      </w:r>
      <w:r>
        <w:rPr>
          <w:spacing w:val="-2"/>
          <w:sz w:val="24"/>
          <w:szCs w:val="24"/>
        </w:rPr>
        <w:t>第十一条合同文件</w:t>
      </w:r>
    </w:p>
    <w:p>
      <w:pPr>
        <w:pStyle w:val="2"/>
        <w:spacing w:before="23" w:line="305" w:lineRule="auto"/>
        <w:ind w:right="100" w:firstLine="419"/>
        <w:rPr>
          <w:sz w:val="24"/>
          <w:szCs w:val="24"/>
        </w:rPr>
      </w:pPr>
      <w:r>
        <w:rPr>
          <w:spacing w:val="-6"/>
          <w:sz w:val="24"/>
          <w:szCs w:val="24"/>
        </w:rPr>
        <w:t>详细技术说明及其他有关合同项目的特定信息由合同附件予以说明，下列文件构成本合同</w:t>
      </w:r>
      <w:r>
        <w:rPr>
          <w:spacing w:val="4"/>
          <w:sz w:val="24"/>
          <w:szCs w:val="24"/>
        </w:rPr>
        <w:t xml:space="preserve"> </w:t>
      </w:r>
      <w:r>
        <w:rPr>
          <w:spacing w:val="-8"/>
          <w:sz w:val="24"/>
          <w:szCs w:val="24"/>
        </w:rPr>
        <w:t>的组成部分，应该认为是一个整体，彼此相</w:t>
      </w:r>
      <w:r>
        <w:rPr>
          <w:spacing w:val="-9"/>
          <w:sz w:val="24"/>
          <w:szCs w:val="24"/>
        </w:rPr>
        <w:t>互解释，相互补充。</w:t>
      </w:r>
    </w:p>
    <w:p>
      <w:pPr>
        <w:pStyle w:val="2"/>
        <w:spacing w:before="50" w:line="326" w:lineRule="auto"/>
        <w:ind w:left="419" w:right="4702" w:hanging="419"/>
        <w:rPr>
          <w:sz w:val="24"/>
          <w:szCs w:val="24"/>
        </w:rPr>
      </w:pPr>
      <w:r>
        <w:rPr>
          <w:spacing w:val="-15"/>
          <w:sz w:val="24"/>
          <w:szCs w:val="24"/>
        </w:rPr>
        <w:t>组成合同的多个文件的优先支配地位的次序如</w:t>
      </w:r>
      <w:r>
        <w:rPr>
          <w:spacing w:val="-16"/>
          <w:sz w:val="24"/>
          <w:szCs w:val="24"/>
        </w:rPr>
        <w:t>下：</w:t>
      </w:r>
      <w:r>
        <w:rPr>
          <w:sz w:val="24"/>
          <w:szCs w:val="24"/>
        </w:rPr>
        <w:t xml:space="preserve"> </w:t>
      </w:r>
      <w:r>
        <w:rPr>
          <w:rFonts w:ascii="宋体" w:hAnsi="宋体" w:eastAsia="宋体" w:cs="宋体"/>
          <w:spacing w:val="-8"/>
          <w:sz w:val="24"/>
          <w:szCs w:val="24"/>
        </w:rPr>
        <w:t>1.</w:t>
      </w:r>
      <w:r>
        <w:rPr>
          <w:spacing w:val="-8"/>
          <w:sz w:val="24"/>
          <w:szCs w:val="24"/>
        </w:rPr>
        <w:t>本合同书</w:t>
      </w:r>
    </w:p>
    <w:p>
      <w:pPr>
        <w:pStyle w:val="2"/>
        <w:spacing w:before="3" w:line="222" w:lineRule="auto"/>
        <w:ind w:left="419"/>
        <w:rPr>
          <w:sz w:val="24"/>
          <w:szCs w:val="24"/>
        </w:rPr>
      </w:pPr>
      <w:r>
        <w:rPr>
          <w:spacing w:val="-7"/>
          <w:sz w:val="24"/>
          <w:szCs w:val="24"/>
        </w:rPr>
        <w:t>2.成交通知书</w:t>
      </w:r>
    </w:p>
    <w:p>
      <w:pPr>
        <w:pStyle w:val="2"/>
        <w:spacing w:before="158" w:line="331" w:lineRule="auto"/>
        <w:ind w:right="4261" w:firstLine="419"/>
        <w:rPr>
          <w:sz w:val="24"/>
          <w:szCs w:val="24"/>
        </w:rPr>
      </w:pPr>
      <w:r>
        <w:rPr>
          <w:rFonts w:ascii="宋体" w:hAnsi="宋体" w:eastAsia="宋体" w:cs="宋体"/>
          <w:spacing w:val="-13"/>
          <w:sz w:val="24"/>
          <w:szCs w:val="24"/>
        </w:rPr>
        <w:t>3.</w:t>
      </w:r>
      <w:r>
        <w:rPr>
          <w:spacing w:val="-13"/>
          <w:sz w:val="24"/>
          <w:szCs w:val="24"/>
        </w:rPr>
        <w:t>谈判文件(含澄清或者修改文件)4.谈判响应文件</w:t>
      </w:r>
      <w:r>
        <w:rPr>
          <w:spacing w:val="14"/>
          <w:sz w:val="24"/>
          <w:szCs w:val="24"/>
        </w:rPr>
        <w:t xml:space="preserve"> </w:t>
      </w:r>
      <w:r>
        <w:rPr>
          <w:spacing w:val="-12"/>
          <w:sz w:val="24"/>
          <w:szCs w:val="24"/>
        </w:rPr>
        <w:t>第十二条合同生效及其他</w:t>
      </w:r>
    </w:p>
    <w:p>
      <w:pPr>
        <w:pStyle w:val="2"/>
        <w:spacing w:line="323" w:lineRule="auto"/>
        <w:ind w:right="2492"/>
        <w:rPr>
          <w:sz w:val="24"/>
          <w:szCs w:val="24"/>
        </w:rPr>
      </w:pPr>
      <w:r>
        <w:rPr>
          <w:spacing w:val="-22"/>
          <w:sz w:val="24"/>
          <w:szCs w:val="24"/>
        </w:rPr>
        <w:t>1.如有未尽事宜，由双方依法订立补充合同</w:t>
      </w:r>
      <w:r>
        <w:rPr>
          <w:spacing w:val="-23"/>
          <w:sz w:val="24"/>
          <w:szCs w:val="24"/>
        </w:rPr>
        <w:t>，补充合同与本合同效力一致。</w:t>
      </w:r>
      <w:r>
        <w:rPr>
          <w:sz w:val="24"/>
          <w:szCs w:val="24"/>
        </w:rPr>
        <w:t xml:space="preserve"> </w:t>
      </w:r>
      <w:r>
        <w:rPr>
          <w:spacing w:val="-20"/>
          <w:sz w:val="24"/>
          <w:szCs w:val="24"/>
        </w:rPr>
        <w:t>2.本合同自双方签字、盖章之日起生效。</w:t>
      </w:r>
    </w:p>
    <w:p>
      <w:pPr>
        <w:pStyle w:val="2"/>
        <w:spacing w:before="2" w:line="338" w:lineRule="auto"/>
        <w:ind w:left="419" w:right="3291"/>
        <w:rPr>
          <w:sz w:val="24"/>
          <w:szCs w:val="24"/>
        </w:rPr>
      </w:pPr>
      <w:r>
        <w:rPr>
          <w:rFonts w:ascii="宋体" w:hAnsi="宋体" w:eastAsia="宋体" w:cs="宋体"/>
          <w:spacing w:val="-3"/>
          <w:sz w:val="24"/>
          <w:szCs w:val="24"/>
        </w:rPr>
        <w:t>3.</w:t>
      </w:r>
      <w:r>
        <w:rPr>
          <w:spacing w:val="-3"/>
          <w:sz w:val="24"/>
          <w:szCs w:val="24"/>
        </w:rPr>
        <w:t>本合同一式份，具有同等法律效力，甲乙双方各执份。</w:t>
      </w:r>
      <w:r>
        <w:rPr>
          <w:spacing w:val="17"/>
          <w:sz w:val="24"/>
          <w:szCs w:val="24"/>
        </w:rPr>
        <w:t xml:space="preserve"> </w:t>
      </w:r>
      <w:r>
        <w:rPr>
          <w:spacing w:val="-14"/>
          <w:sz w:val="24"/>
          <w:szCs w:val="24"/>
        </w:rPr>
        <w:t>4.合同附件：谈判文件、谈判响应文件、成交通知书</w:t>
      </w:r>
    </w:p>
    <w:p>
      <w:pPr>
        <w:spacing w:line="338" w:lineRule="auto"/>
        <w:rPr>
          <w:sz w:val="24"/>
          <w:szCs w:val="24"/>
        </w:rPr>
        <w:sectPr>
          <w:pgSz w:w="11900" w:h="16840"/>
          <w:pgMar w:top="1419" w:right="1177" w:bottom="0" w:left="1070" w:header="0" w:footer="0" w:gutter="0"/>
          <w:cols w:space="720" w:num="1"/>
        </w:sectPr>
      </w:pPr>
    </w:p>
    <w:p>
      <w:pPr>
        <w:spacing w:line="252" w:lineRule="auto"/>
        <w:rPr>
          <w:rFonts w:ascii="Arial"/>
          <w:sz w:val="21"/>
        </w:rPr>
      </w:pPr>
    </w:p>
    <w:p>
      <w:pPr>
        <w:spacing w:line="252" w:lineRule="auto"/>
        <w:rPr>
          <w:rFonts w:ascii="Arial"/>
          <w:sz w:val="21"/>
        </w:rPr>
      </w:pPr>
    </w:p>
    <w:p>
      <w:pPr>
        <w:spacing w:line="253" w:lineRule="auto"/>
        <w:rPr>
          <w:rFonts w:ascii="Arial"/>
          <w:sz w:val="21"/>
        </w:rPr>
      </w:pPr>
    </w:p>
    <w:p>
      <w:pPr>
        <w:pStyle w:val="2"/>
        <w:spacing w:before="85" w:line="221" w:lineRule="auto"/>
        <w:rPr>
          <w:sz w:val="26"/>
          <w:szCs w:val="26"/>
        </w:rPr>
      </w:pPr>
      <w:r>
        <w:rPr>
          <w:spacing w:val="3"/>
          <w:sz w:val="26"/>
          <w:szCs w:val="26"/>
        </w:rPr>
        <w:t>甲方：(盖章)</w:t>
      </w:r>
      <w:r>
        <w:rPr>
          <w:spacing w:val="6"/>
          <w:sz w:val="26"/>
          <w:szCs w:val="26"/>
        </w:rPr>
        <w:t xml:space="preserve">          </w:t>
      </w:r>
      <w:r>
        <w:rPr>
          <w:spacing w:val="3"/>
          <w:sz w:val="26"/>
          <w:szCs w:val="26"/>
        </w:rPr>
        <w:t>乙方：(盖章)</w:t>
      </w:r>
    </w:p>
    <w:p>
      <w:pPr>
        <w:spacing w:line="443" w:lineRule="auto"/>
        <w:rPr>
          <w:rFonts w:ascii="Arial"/>
          <w:sz w:val="21"/>
        </w:rPr>
      </w:pPr>
    </w:p>
    <w:p>
      <w:pPr>
        <w:pStyle w:val="2"/>
        <w:spacing w:before="85" w:line="222" w:lineRule="auto"/>
        <w:rPr>
          <w:sz w:val="26"/>
          <w:szCs w:val="26"/>
        </w:rPr>
      </w:pPr>
      <w:r>
        <w:rPr>
          <w:spacing w:val="-23"/>
          <w:sz w:val="26"/>
          <w:szCs w:val="26"/>
        </w:rPr>
        <w:t>法定代表人/委托代理人：     法定代表人/委托代理人：</w:t>
      </w:r>
    </w:p>
    <w:p>
      <w:pPr>
        <w:spacing w:line="463" w:lineRule="auto"/>
        <w:rPr>
          <w:rFonts w:ascii="Arial"/>
          <w:sz w:val="21"/>
        </w:rPr>
      </w:pPr>
    </w:p>
    <w:p>
      <w:pPr>
        <w:pStyle w:val="2"/>
        <w:spacing w:before="95" w:line="230" w:lineRule="auto"/>
        <w:rPr>
          <w:sz w:val="26"/>
          <w:szCs w:val="26"/>
        </w:rPr>
      </w:pPr>
      <w:r>
        <w:rPr>
          <w:spacing w:val="-8"/>
          <w:sz w:val="29"/>
          <w:szCs w:val="29"/>
        </w:rPr>
        <w:t>地 址</w:t>
      </w:r>
      <w:r>
        <w:rPr>
          <w:spacing w:val="-18"/>
          <w:sz w:val="29"/>
          <w:szCs w:val="29"/>
        </w:rPr>
        <w:t xml:space="preserve"> </w:t>
      </w:r>
      <w:r>
        <w:rPr>
          <w:spacing w:val="-8"/>
          <w:sz w:val="29"/>
          <w:szCs w:val="29"/>
        </w:rPr>
        <w:t>：</w:t>
      </w:r>
      <w:r>
        <w:rPr>
          <w:spacing w:val="5"/>
          <w:sz w:val="29"/>
          <w:szCs w:val="29"/>
        </w:rPr>
        <w:t xml:space="preserve">           </w:t>
      </w:r>
      <w:r>
        <w:rPr>
          <w:spacing w:val="-8"/>
          <w:sz w:val="26"/>
          <w:szCs w:val="26"/>
        </w:rPr>
        <w:t>地</w:t>
      </w:r>
      <w:r>
        <w:rPr>
          <w:spacing w:val="-24"/>
          <w:sz w:val="26"/>
          <w:szCs w:val="26"/>
        </w:rPr>
        <w:t xml:space="preserve"> </w:t>
      </w:r>
      <w:r>
        <w:rPr>
          <w:spacing w:val="-8"/>
          <w:sz w:val="26"/>
          <w:szCs w:val="26"/>
        </w:rPr>
        <w:t>址</w:t>
      </w:r>
      <w:r>
        <w:rPr>
          <w:spacing w:val="-36"/>
          <w:sz w:val="26"/>
          <w:szCs w:val="26"/>
        </w:rPr>
        <w:t xml:space="preserve"> </w:t>
      </w:r>
      <w:r>
        <w:rPr>
          <w:spacing w:val="-8"/>
          <w:sz w:val="26"/>
          <w:szCs w:val="26"/>
        </w:rPr>
        <w:t>：</w:t>
      </w:r>
    </w:p>
    <w:p>
      <w:pPr>
        <w:spacing w:line="242" w:lineRule="auto"/>
        <w:rPr>
          <w:rFonts w:ascii="Arial"/>
          <w:sz w:val="21"/>
        </w:rPr>
      </w:pPr>
    </w:p>
    <w:p>
      <w:pPr>
        <w:spacing w:line="243" w:lineRule="auto"/>
        <w:rPr>
          <w:rFonts w:ascii="Arial"/>
          <w:sz w:val="21"/>
        </w:rPr>
      </w:pPr>
    </w:p>
    <w:p>
      <w:pPr>
        <w:pStyle w:val="2"/>
        <w:spacing w:before="85" w:line="222" w:lineRule="auto"/>
        <w:rPr>
          <w:sz w:val="26"/>
          <w:szCs w:val="26"/>
        </w:rPr>
      </w:pPr>
      <w:r>
        <w:rPr>
          <w:spacing w:val="-14"/>
          <w:sz w:val="26"/>
          <w:szCs w:val="26"/>
        </w:rPr>
        <w:t>开户银行：</w:t>
      </w:r>
      <w:r>
        <w:rPr>
          <w:spacing w:val="10"/>
          <w:sz w:val="26"/>
          <w:szCs w:val="26"/>
        </w:rPr>
        <w:t xml:space="preserve">            </w:t>
      </w:r>
      <w:r>
        <w:rPr>
          <w:spacing w:val="-14"/>
          <w:sz w:val="26"/>
          <w:szCs w:val="26"/>
        </w:rPr>
        <w:t>开户银行：</w:t>
      </w:r>
    </w:p>
    <w:p>
      <w:pPr>
        <w:spacing w:line="249" w:lineRule="auto"/>
        <w:rPr>
          <w:rFonts w:ascii="Arial"/>
          <w:sz w:val="21"/>
        </w:rPr>
      </w:pPr>
    </w:p>
    <w:p>
      <w:pPr>
        <w:spacing w:line="250" w:lineRule="auto"/>
        <w:rPr>
          <w:rFonts w:ascii="Arial"/>
          <w:sz w:val="21"/>
        </w:rPr>
      </w:pPr>
    </w:p>
    <w:p>
      <w:pPr>
        <w:pStyle w:val="2"/>
        <w:spacing w:before="84" w:line="221" w:lineRule="auto"/>
        <w:rPr>
          <w:sz w:val="26"/>
          <w:szCs w:val="26"/>
        </w:rPr>
      </w:pPr>
      <w:r>
        <w:rPr>
          <w:spacing w:val="-6"/>
          <w:sz w:val="26"/>
          <w:szCs w:val="26"/>
        </w:rPr>
        <w:t>账</w:t>
      </w:r>
      <w:r>
        <w:rPr>
          <w:spacing w:val="18"/>
          <w:sz w:val="26"/>
          <w:szCs w:val="26"/>
        </w:rPr>
        <w:t xml:space="preserve"> </w:t>
      </w:r>
      <w:r>
        <w:rPr>
          <w:spacing w:val="-6"/>
          <w:sz w:val="26"/>
          <w:szCs w:val="26"/>
        </w:rPr>
        <w:t>号 ：</w:t>
      </w:r>
      <w:r>
        <w:rPr>
          <w:spacing w:val="3"/>
          <w:sz w:val="26"/>
          <w:szCs w:val="26"/>
        </w:rPr>
        <w:t xml:space="preserve">             </w:t>
      </w:r>
      <w:r>
        <w:rPr>
          <w:spacing w:val="-6"/>
          <w:sz w:val="26"/>
          <w:szCs w:val="26"/>
        </w:rPr>
        <w:t>账</w:t>
      </w:r>
      <w:r>
        <w:rPr>
          <w:spacing w:val="27"/>
          <w:sz w:val="26"/>
          <w:szCs w:val="26"/>
        </w:rPr>
        <w:t xml:space="preserve"> </w:t>
      </w:r>
      <w:r>
        <w:rPr>
          <w:spacing w:val="-6"/>
          <w:sz w:val="26"/>
          <w:szCs w:val="26"/>
        </w:rPr>
        <w:t>号 ：</w:t>
      </w:r>
    </w:p>
    <w:p>
      <w:pPr>
        <w:spacing w:line="257" w:lineRule="auto"/>
        <w:rPr>
          <w:rFonts w:ascii="Arial"/>
          <w:sz w:val="21"/>
        </w:rPr>
      </w:pPr>
    </w:p>
    <w:p>
      <w:pPr>
        <w:spacing w:line="257" w:lineRule="auto"/>
        <w:rPr>
          <w:rFonts w:ascii="Arial"/>
          <w:sz w:val="21"/>
        </w:rPr>
      </w:pPr>
    </w:p>
    <w:p>
      <w:pPr>
        <w:pStyle w:val="2"/>
        <w:spacing w:before="85" w:line="224" w:lineRule="auto"/>
        <w:rPr>
          <w:sz w:val="26"/>
          <w:szCs w:val="26"/>
        </w:rPr>
      </w:pPr>
      <w:r>
        <w:rPr>
          <w:spacing w:val="-8"/>
          <w:sz w:val="26"/>
          <w:szCs w:val="26"/>
        </w:rPr>
        <w:t>电</w:t>
      </w:r>
      <w:r>
        <w:rPr>
          <w:spacing w:val="28"/>
          <w:sz w:val="26"/>
          <w:szCs w:val="26"/>
        </w:rPr>
        <w:t xml:space="preserve"> </w:t>
      </w:r>
      <w:r>
        <w:rPr>
          <w:spacing w:val="-8"/>
          <w:sz w:val="26"/>
          <w:szCs w:val="26"/>
        </w:rPr>
        <w:t>话 ：              电</w:t>
      </w:r>
      <w:r>
        <w:rPr>
          <w:spacing w:val="39"/>
          <w:sz w:val="26"/>
          <w:szCs w:val="26"/>
        </w:rPr>
        <w:t xml:space="preserve"> </w:t>
      </w:r>
      <w:r>
        <w:rPr>
          <w:spacing w:val="-8"/>
          <w:sz w:val="26"/>
          <w:szCs w:val="26"/>
        </w:rPr>
        <w:t>话</w:t>
      </w:r>
      <w:r>
        <w:rPr>
          <w:spacing w:val="27"/>
          <w:sz w:val="26"/>
          <w:szCs w:val="26"/>
        </w:rPr>
        <w:t xml:space="preserve"> </w:t>
      </w:r>
      <w:r>
        <w:rPr>
          <w:spacing w:val="-8"/>
          <w:sz w:val="26"/>
          <w:szCs w:val="26"/>
        </w:rPr>
        <w:t>：</w:t>
      </w:r>
    </w:p>
    <w:p>
      <w:pPr>
        <w:spacing w:line="251" w:lineRule="auto"/>
        <w:rPr>
          <w:rFonts w:ascii="Arial"/>
          <w:sz w:val="21"/>
        </w:rPr>
      </w:pPr>
    </w:p>
    <w:p>
      <w:pPr>
        <w:spacing w:line="252" w:lineRule="auto"/>
        <w:rPr>
          <w:rFonts w:ascii="Arial"/>
          <w:sz w:val="21"/>
        </w:rPr>
      </w:pPr>
    </w:p>
    <w:p>
      <w:pPr>
        <w:pStyle w:val="2"/>
        <w:spacing w:before="85" w:line="222" w:lineRule="auto"/>
        <w:rPr>
          <w:sz w:val="26"/>
          <w:szCs w:val="26"/>
        </w:rPr>
      </w:pPr>
      <w:r>
        <w:rPr>
          <w:spacing w:val="-5"/>
          <w:sz w:val="26"/>
          <w:szCs w:val="26"/>
        </w:rPr>
        <w:t>传</w:t>
      </w:r>
      <w:r>
        <w:rPr>
          <w:spacing w:val="12"/>
          <w:sz w:val="26"/>
          <w:szCs w:val="26"/>
        </w:rPr>
        <w:t xml:space="preserve"> </w:t>
      </w:r>
      <w:r>
        <w:rPr>
          <w:spacing w:val="-5"/>
          <w:sz w:val="26"/>
          <w:szCs w:val="26"/>
        </w:rPr>
        <w:t>真 ：</w:t>
      </w:r>
      <w:r>
        <w:rPr>
          <w:spacing w:val="3"/>
          <w:sz w:val="26"/>
          <w:szCs w:val="26"/>
        </w:rPr>
        <w:t xml:space="preserve">             </w:t>
      </w:r>
      <w:r>
        <w:rPr>
          <w:spacing w:val="-5"/>
          <w:sz w:val="26"/>
          <w:szCs w:val="26"/>
        </w:rPr>
        <w:t>传</w:t>
      </w:r>
      <w:r>
        <w:rPr>
          <w:spacing w:val="25"/>
          <w:sz w:val="26"/>
          <w:szCs w:val="26"/>
        </w:rPr>
        <w:t xml:space="preserve"> </w:t>
      </w:r>
      <w:r>
        <w:rPr>
          <w:spacing w:val="-5"/>
          <w:sz w:val="26"/>
          <w:szCs w:val="26"/>
        </w:rPr>
        <w:t>真 ：</w:t>
      </w:r>
    </w:p>
    <w:p>
      <w:pPr>
        <w:spacing w:line="256" w:lineRule="auto"/>
        <w:rPr>
          <w:rFonts w:ascii="Arial"/>
          <w:sz w:val="21"/>
        </w:rPr>
      </w:pPr>
    </w:p>
    <w:p>
      <w:pPr>
        <w:spacing w:line="256" w:lineRule="auto"/>
        <w:rPr>
          <w:rFonts w:ascii="Arial"/>
          <w:sz w:val="21"/>
        </w:rPr>
      </w:pPr>
    </w:p>
    <w:p>
      <w:pPr>
        <w:pStyle w:val="2"/>
        <w:spacing w:before="85" w:line="223" w:lineRule="auto"/>
        <w:rPr>
          <w:sz w:val="26"/>
          <w:szCs w:val="26"/>
        </w:rPr>
      </w:pPr>
      <w:r>
        <w:rPr>
          <w:spacing w:val="19"/>
          <w:sz w:val="26"/>
          <w:szCs w:val="26"/>
        </w:rPr>
        <w:t>签约日期：年月日       签约日期：年月日</w:t>
      </w:r>
    </w:p>
    <w:sectPr>
      <w:pgSz w:w="11900" w:h="16840"/>
      <w:pgMar w:top="1431" w:right="1785" w:bottom="0" w:left="1499"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ZTllNzRlNTY2NDM2MDEzOGRlODUyYWFkMmZlZGJjYzIifQ=="/>
  </w:docVars>
  <w:rsids>
    <w:rsidRoot w:val="00000000"/>
    <w:rsid w:val="1008458B"/>
    <w:rsid w:val="10F9719C"/>
    <w:rsid w:val="1BD92F6B"/>
    <w:rsid w:val="2C974106"/>
    <w:rsid w:val="3C591B47"/>
    <w:rsid w:val="4BAF3531"/>
    <w:rsid w:val="644D5794"/>
    <w:rsid w:val="6D19485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黑体" w:hAnsi="黑体" w:eastAsia="黑体" w:cs="黑体"/>
      <w:sz w:val="25"/>
      <w:szCs w:val="25"/>
      <w:lang w:val="en-US" w:eastAsia="en-US" w:bidi="ar-SA"/>
    </w:r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5</Pages>
  <Words>3126</Words>
  <Characters>3216</Characters>
  <TotalTime>17</TotalTime>
  <ScaleCrop>false</ScaleCrop>
  <LinksUpToDate>false</LinksUpToDate>
  <CharactersWithSpaces>3436</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2024-08-16T19:01:00Z</dcterms:created>
  <dc:creator>Kingsoft-PDF</dc:creator>
  <cp:lastModifiedBy>十三</cp:lastModifiedBy>
  <dcterms:modified xsi:type="dcterms:W3CDTF">2024-08-16T13:21:00Z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2024-08-16T19:01:16Z</vt:filetime>
  </property>
  <property fmtid="{D5CDD505-2E9C-101B-9397-08002B2CF9AE}" pid="4" name="UsrData">
    <vt:lpwstr>66bf317adcdb66001f03da80wl</vt:lpwstr>
  </property>
  <property fmtid="{D5CDD505-2E9C-101B-9397-08002B2CF9AE}" pid="5" name="KSOProductBuildVer">
    <vt:lpwstr>2052-12.1.0.16929</vt:lpwstr>
  </property>
  <property fmtid="{D5CDD505-2E9C-101B-9397-08002B2CF9AE}" pid="6" name="ICV">
    <vt:lpwstr>E74ACE0CE1454649A3ACCABEAF156787_12</vt:lpwstr>
  </property>
</Properties>
</file>