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60F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lang w:val="en-US" w:eastAsia="zh-CN"/>
        </w:rPr>
        <w:t>一般</w:t>
      </w:r>
      <w:r>
        <w:rPr>
          <w:rFonts w:hint="eastAsia" w:ascii="方正小标宋简体" w:hAnsi="方正小标宋简体" w:eastAsia="方正小标宋简体" w:cs="方正小标宋简体"/>
          <w:b w:val="0"/>
          <w:bCs w:val="0"/>
          <w:sz w:val="36"/>
          <w:szCs w:val="36"/>
        </w:rPr>
        <w:t>资格</w:t>
      </w:r>
      <w:r>
        <w:rPr>
          <w:rFonts w:hint="eastAsia" w:ascii="方正小标宋简体" w:hAnsi="方正小标宋简体" w:eastAsia="方正小标宋简体" w:cs="方正小标宋简体"/>
          <w:b w:val="0"/>
          <w:bCs w:val="0"/>
          <w:sz w:val="36"/>
          <w:szCs w:val="36"/>
          <w:lang w:val="en-US" w:eastAsia="zh-CN"/>
        </w:rPr>
        <w:t>要求</w:t>
      </w:r>
      <w:r>
        <w:rPr>
          <w:rFonts w:hint="eastAsia" w:ascii="方正小标宋简体" w:hAnsi="方正小标宋简体" w:eastAsia="方正小标宋简体" w:cs="方正小标宋简体"/>
          <w:b w:val="0"/>
          <w:bCs w:val="0"/>
          <w:sz w:val="36"/>
          <w:szCs w:val="36"/>
        </w:rPr>
        <w:t>：</w:t>
      </w:r>
    </w:p>
    <w:p w14:paraId="313E45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方正小标宋简体" w:hAnsi="方正小标宋简体" w:eastAsia="方正小标宋简体" w:cs="方正小标宋简体"/>
          <w:b w:val="0"/>
          <w:bCs w:val="0"/>
          <w:sz w:val="36"/>
          <w:szCs w:val="36"/>
          <w:lang w:val="en-US" w:eastAsia="zh-CN"/>
        </w:rPr>
      </w:pPr>
    </w:p>
    <w:p w14:paraId="349959FD">
      <w:pPr>
        <w:numPr>
          <w:ilvl w:val="0"/>
          <w:numId w:val="0"/>
        </w:numPr>
        <w:bidi w:val="0"/>
        <w:spacing w:line="360" w:lineRule="auto"/>
        <w:ind w:left="12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（1）、具有独立承担民事责任能力的法人、其他组织或自然人：提供合法有效的统一社会信用代码营业执照（事业单位提供事业单位法人证书，自然人应提供身份证）；</w:t>
      </w:r>
    </w:p>
    <w:p w14:paraId="04F447E5">
      <w:pPr>
        <w:numPr>
          <w:ilvl w:val="0"/>
          <w:numId w:val="0"/>
        </w:numPr>
        <w:bidi w:val="0"/>
        <w:spacing w:line="360" w:lineRule="auto"/>
        <w:ind w:left="12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F3EF372">
      <w:pPr>
        <w:numPr>
          <w:ilvl w:val="0"/>
          <w:numId w:val="0"/>
        </w:numPr>
        <w:bidi w:val="0"/>
        <w:spacing w:line="360" w:lineRule="auto"/>
        <w:ind w:left="12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2023年8月以来任意一个月的依法缴纳税收的相关凭据（时间以税款所属日期为准），凭据应有税务机关或代收机关的公章或业务专用章。依法免税或无须缴纳税收的供应商，应提供相应证明文件；</w:t>
      </w:r>
    </w:p>
    <w:p w14:paraId="6F5C3165">
      <w:pPr>
        <w:numPr>
          <w:ilvl w:val="0"/>
          <w:numId w:val="0"/>
        </w:numPr>
        <w:bidi w:val="0"/>
        <w:spacing w:line="360" w:lineRule="auto"/>
        <w:ind w:left="12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（4）、社会保障资金缴纳证明：提供2023年8月以来至少一个月的社会保障资金缴存单据或社保机构开具的社会保险参保缴费情况证明。依法不需要缴纳社会保障资金的供应商应提供相关文件证明；</w:t>
      </w:r>
    </w:p>
    <w:p w14:paraId="5DFD6779">
      <w:pPr>
        <w:numPr>
          <w:ilvl w:val="0"/>
          <w:numId w:val="0"/>
        </w:numPr>
        <w:bidi w:val="0"/>
        <w:spacing w:line="360" w:lineRule="auto"/>
        <w:ind w:left="120" w:leftChars="0"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（5）、具有履行合同所必需的设备和专业技术能力的书面声明：具有履行合同所必需的设备和专业技术能力的书面声明；</w:t>
      </w:r>
      <w:r>
        <w:rPr>
          <w:rFonts w:hint="eastAsia" w:ascii="宋体" w:hAnsi="宋体" w:eastAsia="宋体" w:cs="宋体"/>
          <w:b/>
          <w:bCs/>
          <w:sz w:val="24"/>
          <w:szCs w:val="24"/>
          <w:lang w:val="en-US" w:eastAsia="zh-CN"/>
        </w:rPr>
        <w:t>（提供承诺函，加盖供应商公章）</w:t>
      </w:r>
    </w:p>
    <w:p w14:paraId="5C9EF09F">
      <w:pPr>
        <w:numPr>
          <w:ilvl w:val="0"/>
          <w:numId w:val="0"/>
        </w:numPr>
        <w:bidi w:val="0"/>
        <w:spacing w:line="360" w:lineRule="auto"/>
        <w:ind w:left="120" w:leftChars="0" w:firstLine="480" w:firstLineChars="200"/>
        <w:rPr>
          <w:rFonts w:hint="eastAsia"/>
        </w:rPr>
      </w:pPr>
      <w:r>
        <w:rPr>
          <w:rFonts w:hint="eastAsia" w:ascii="宋体" w:hAnsi="宋体" w:eastAsia="宋体" w:cs="宋体"/>
          <w:sz w:val="24"/>
          <w:szCs w:val="24"/>
          <w:lang w:val="en-US" w:eastAsia="zh-CN"/>
        </w:rPr>
        <w:t>（6）、提供参加政府采购活动前三年内在经营活动中没有重大违法记录的书面声明。</w:t>
      </w:r>
      <w:r>
        <w:rPr>
          <w:rFonts w:hint="eastAsia" w:ascii="宋体" w:hAnsi="宋体" w:eastAsia="宋体" w:cs="宋体"/>
          <w:b/>
          <w:bCs/>
          <w:sz w:val="24"/>
          <w:szCs w:val="24"/>
          <w:lang w:val="en-US" w:eastAsia="zh-CN"/>
        </w:rPr>
        <w:t>（提供书面声明，加盖供应商公章）</w:t>
      </w:r>
    </w:p>
    <w:p w14:paraId="66462067">
      <w:pPr>
        <w:bidi w:val="0"/>
      </w:pPr>
      <w:r>
        <w:br w:type="page"/>
      </w:r>
    </w:p>
    <w:p w14:paraId="48A203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0" w:firstLineChars="0"/>
        <w:textAlignment w:val="auto"/>
        <w:outlineLvl w:val="0"/>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lang w:val="en-US" w:eastAsia="zh-CN"/>
        </w:rPr>
        <w:t>特殊</w:t>
      </w:r>
      <w:r>
        <w:rPr>
          <w:rFonts w:hint="eastAsia" w:ascii="方正小标宋简体" w:hAnsi="方正小标宋简体" w:eastAsia="方正小标宋简体" w:cs="方正小标宋简体"/>
          <w:b w:val="0"/>
          <w:bCs w:val="0"/>
          <w:sz w:val="36"/>
          <w:szCs w:val="36"/>
        </w:rPr>
        <w:t>资格</w:t>
      </w:r>
      <w:r>
        <w:rPr>
          <w:rFonts w:hint="eastAsia" w:ascii="方正小标宋简体" w:hAnsi="方正小标宋简体" w:eastAsia="方正小标宋简体" w:cs="方正小标宋简体"/>
          <w:b w:val="0"/>
          <w:bCs w:val="0"/>
          <w:sz w:val="36"/>
          <w:szCs w:val="36"/>
          <w:lang w:val="en-US" w:eastAsia="zh-CN"/>
        </w:rPr>
        <w:t>要求</w:t>
      </w:r>
      <w:r>
        <w:rPr>
          <w:rFonts w:hint="eastAsia" w:ascii="方正小标宋简体" w:hAnsi="方正小标宋简体" w:eastAsia="方正小标宋简体" w:cs="方正小标宋简体"/>
          <w:b w:val="0"/>
          <w:bCs w:val="0"/>
          <w:sz w:val="36"/>
          <w:szCs w:val="36"/>
        </w:rPr>
        <w:t>：</w:t>
      </w:r>
    </w:p>
    <w:p w14:paraId="4912C58B">
      <w:pPr>
        <w:numPr>
          <w:ilvl w:val="0"/>
          <w:numId w:val="0"/>
        </w:numPr>
        <w:bidi w:val="0"/>
        <w:spacing w:line="360" w:lineRule="auto"/>
        <w:ind w:firstLine="480" w:firstLineChars="200"/>
        <w:rPr>
          <w:rFonts w:hint="eastAsia" w:ascii="宋体" w:hAnsi="宋体" w:eastAsia="宋体" w:cs="宋体"/>
          <w:sz w:val="24"/>
          <w:szCs w:val="24"/>
        </w:rPr>
      </w:pPr>
    </w:p>
    <w:p w14:paraId="1033906D">
      <w:pPr>
        <w:numPr>
          <w:ilvl w:val="0"/>
          <w:numId w:val="0"/>
        </w:numPr>
        <w:bidi w:val="0"/>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w:t>
      </w:r>
      <w:r>
        <w:rPr>
          <w:rFonts w:ascii="宋体" w:hAnsi="宋体" w:eastAsia="宋体" w:cs="宋体"/>
          <w:sz w:val="24"/>
          <w:szCs w:val="24"/>
        </w:rPr>
        <w:t>应授权合法的人员参加投标：法定代表人委托代理人参加</w:t>
      </w:r>
      <w:r>
        <w:rPr>
          <w:rFonts w:hint="eastAsia" w:ascii="宋体" w:hAnsi="宋体" w:eastAsia="宋体" w:cs="宋体"/>
          <w:sz w:val="24"/>
          <w:szCs w:val="24"/>
          <w:lang w:val="en-US" w:eastAsia="zh-CN"/>
        </w:rPr>
        <w:t>谈判</w:t>
      </w:r>
      <w:r>
        <w:rPr>
          <w:rFonts w:ascii="宋体" w:hAnsi="宋体" w:eastAsia="宋体" w:cs="宋体"/>
          <w:sz w:val="24"/>
          <w:szCs w:val="24"/>
        </w:rPr>
        <w:t>时，应提供法定代表人授权委托书（附法定代表人身份证复印件及被授权人身份证复印件）；法定代表人直接参加</w:t>
      </w:r>
      <w:r>
        <w:rPr>
          <w:rFonts w:hint="eastAsia" w:ascii="宋体" w:hAnsi="宋体" w:eastAsia="宋体" w:cs="宋体"/>
          <w:sz w:val="24"/>
          <w:szCs w:val="24"/>
          <w:lang w:val="en-US" w:eastAsia="zh-CN"/>
        </w:rPr>
        <w:t>谈判</w:t>
      </w:r>
      <w:r>
        <w:rPr>
          <w:rFonts w:ascii="宋体" w:hAnsi="宋体" w:eastAsia="宋体" w:cs="宋体"/>
          <w:sz w:val="24"/>
          <w:szCs w:val="24"/>
        </w:rPr>
        <w:t>时，应提供法定代表人身份证明书（附法定代表人身份证复印件）。</w:t>
      </w:r>
    </w:p>
    <w:p w14:paraId="3F24CE92">
      <w:pPr>
        <w:numPr>
          <w:ilvl w:val="0"/>
          <w:numId w:val="0"/>
        </w:numPr>
        <w:bidi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ascii="宋体" w:hAnsi="宋体" w:eastAsia="宋体" w:cs="宋体"/>
          <w:sz w:val="24"/>
          <w:szCs w:val="24"/>
        </w:rPr>
        <w:t>供应商未被“信用中国”网站（www.creditchina.gov.cn）列入失信被执行人和重大税收违法失信主体，未被中国政府采购网（www.ccgp.gov.cn）列入政府采购严重违法失信行为记录名单；（供应商无需提供，资格审查人员于资格审查环节查询相关信用记录，对列入失信被执行人、重大税收违法失信主体、政府采购严重违法失信行为记</w:t>
      </w:r>
      <w:bookmarkStart w:id="2" w:name="_GoBack"/>
      <w:bookmarkEnd w:id="2"/>
      <w:r>
        <w:rPr>
          <w:rFonts w:ascii="宋体" w:hAnsi="宋体" w:eastAsia="宋体" w:cs="宋体"/>
          <w:sz w:val="24"/>
          <w:szCs w:val="24"/>
        </w:rPr>
        <w:t>录名单及其他不符合《中华人民共和国政府采购法》第二十二条规定的供应商，将拒绝其参与政府采购活动。）</w:t>
      </w:r>
      <w:r>
        <w:rPr>
          <w:rFonts w:hint="eastAsia" w:ascii="宋体" w:hAnsi="宋体" w:eastAsia="宋体" w:cs="宋体"/>
          <w:sz w:val="24"/>
          <w:szCs w:val="24"/>
        </w:rPr>
        <w:br w:type="page"/>
      </w:r>
    </w:p>
    <w:p w14:paraId="0A086B52">
      <w:pPr>
        <w:keepNext w:val="0"/>
        <w:keepLines w:val="0"/>
        <w:pageBreakBefore w:val="0"/>
        <w:widowControl w:val="0"/>
        <w:kinsoku/>
        <w:wordWrap/>
        <w:overflowPunct/>
        <w:topLinePunct w:val="0"/>
        <w:bidi w:val="0"/>
        <w:adjustRightInd w:val="0"/>
        <w:snapToGrid w:val="0"/>
        <w:spacing w:line="360" w:lineRule="auto"/>
        <w:jc w:val="left"/>
        <w:textAlignment w:val="auto"/>
        <w:outlineLvl w:val="9"/>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格式1：</w:t>
      </w:r>
    </w:p>
    <w:p w14:paraId="0E0E9CF5">
      <w:pPr>
        <w:keepNext w:val="0"/>
        <w:keepLines w:val="0"/>
        <w:pageBreakBefore w:val="0"/>
        <w:widowControl w:val="0"/>
        <w:kinsoku/>
        <w:wordWrap/>
        <w:overflowPunct/>
        <w:topLinePunct w:val="0"/>
        <w:bidi w:val="0"/>
        <w:adjustRightInd w:val="0"/>
        <w:snapToGrid w:val="0"/>
        <w:spacing w:line="360" w:lineRule="auto"/>
        <w:ind w:firstLine="1928" w:firstLineChars="800"/>
        <w:jc w:val="both"/>
        <w:textAlignment w:val="auto"/>
        <w:outlineLvl w:val="9"/>
        <w:rPr>
          <w:rFonts w:hint="eastAsia" w:ascii="宋体" w:hAnsi="宋体" w:cs="宋体"/>
          <w:b/>
          <w:bCs/>
          <w:color w:val="auto"/>
          <w:sz w:val="24"/>
          <w:szCs w:val="24"/>
          <w:highlight w:val="none"/>
          <w:lang w:val="en-US" w:eastAsia="zh-CN"/>
        </w:rPr>
      </w:pPr>
    </w:p>
    <w:p w14:paraId="42EE2415">
      <w:pPr>
        <w:keepNext w:val="0"/>
        <w:keepLines w:val="0"/>
        <w:pageBreakBefore w:val="0"/>
        <w:widowControl w:val="0"/>
        <w:kinsoku/>
        <w:wordWrap/>
        <w:overflowPunct/>
        <w:topLinePunct w:val="0"/>
        <w:bidi w:val="0"/>
        <w:adjustRightInd w:val="0"/>
        <w:snapToGrid w:val="0"/>
        <w:spacing w:line="360" w:lineRule="auto"/>
        <w:ind w:firstLine="1928" w:firstLineChars="800"/>
        <w:jc w:val="both"/>
        <w:textAlignment w:val="auto"/>
        <w:outlineLvl w:val="9"/>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14:paraId="677BBB77">
      <w:pPr>
        <w:keepNext w:val="0"/>
        <w:keepLines w:val="0"/>
        <w:pageBreakBefore w:val="0"/>
        <w:widowControl w:val="0"/>
        <w:kinsoku/>
        <w:wordWrap/>
        <w:overflowPunct/>
        <w:topLinePunct w:val="0"/>
        <w:bidi w:val="0"/>
        <w:snapToGrid w:val="0"/>
        <w:spacing w:line="480" w:lineRule="auto"/>
        <w:textAlignment w:val="auto"/>
        <w:outlineLvl w:val="9"/>
        <w:rPr>
          <w:rFonts w:hint="eastAsia" w:ascii="宋体" w:hAnsi="宋体" w:eastAsia="宋体" w:cs="宋体"/>
          <w:color w:val="auto"/>
          <w:sz w:val="24"/>
          <w:szCs w:val="24"/>
          <w:highlight w:val="none"/>
        </w:rPr>
      </w:pPr>
    </w:p>
    <w:p w14:paraId="0A760386">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投标单位</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66B08C3D">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19A9FBD8">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14:paraId="12912F9A">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投标单位</w:t>
      </w:r>
      <w:r>
        <w:rPr>
          <w:rFonts w:hint="eastAsia" w:ascii="宋体" w:hAnsi="宋体" w:eastAsia="宋体" w:cs="宋体"/>
          <w:color w:val="auto"/>
          <w:kern w:val="0"/>
          <w:sz w:val="24"/>
          <w:szCs w:val="24"/>
          <w:highlight w:val="none"/>
        </w:rPr>
        <w:t>名称）的法定代表人（单位负责人）。</w:t>
      </w:r>
    </w:p>
    <w:p w14:paraId="02D9BA59">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A888A9F">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sz w:val="24"/>
          <w:szCs w:val="24"/>
          <w:highlight w:val="none"/>
        </w:rPr>
      </w:pPr>
    </w:p>
    <w:p w14:paraId="10EA5946">
      <w:pPr>
        <w:keepNext w:val="0"/>
        <w:keepLines w:val="0"/>
        <w:pageBreakBefore w:val="0"/>
        <w:widowControl w:val="0"/>
        <w:kinsoku/>
        <w:wordWrap/>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7"/>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14:paraId="1608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14:paraId="011770D9">
            <w:pPr>
              <w:keepNext w:val="0"/>
              <w:keepLines w:val="0"/>
              <w:pageBreakBefore w:val="0"/>
              <w:widowControl w:val="0"/>
              <w:kinsoku/>
              <w:wordWrap/>
              <w:overflowPunct/>
              <w:topLinePunct w:val="0"/>
              <w:bidi w:val="0"/>
              <w:snapToGrid w:val="0"/>
              <w:spacing w:line="480" w:lineRule="auto"/>
              <w:jc w:val="both"/>
              <w:textAlignment w:val="auto"/>
              <w:outlineLvl w:val="9"/>
              <w:rPr>
                <w:rFonts w:hint="eastAsia" w:ascii="宋体" w:hAnsi="宋体" w:eastAsia="宋体" w:cs="宋体"/>
                <w:color w:val="auto"/>
                <w:sz w:val="24"/>
                <w:szCs w:val="24"/>
                <w:highlight w:val="none"/>
              </w:rPr>
            </w:pPr>
          </w:p>
          <w:p w14:paraId="791F14C6">
            <w:pPr>
              <w:keepNext w:val="0"/>
              <w:keepLines w:val="0"/>
              <w:pageBreakBefore w:val="0"/>
              <w:widowControl w:val="0"/>
              <w:kinsoku/>
              <w:wordWrap/>
              <w:overflowPunct/>
              <w:topLinePunct w:val="0"/>
              <w:bidi w:val="0"/>
              <w:snapToGrid w:val="0"/>
              <w:spacing w:line="480" w:lineRule="auto"/>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14:paraId="7F4D93D3">
            <w:pPr>
              <w:pStyle w:val="2"/>
              <w:jc w:val="center"/>
              <w:rPr>
                <w:rFonts w:hint="eastAsia" w:eastAsia="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14:paraId="776A8ECC">
            <w:pPr>
              <w:keepNext w:val="0"/>
              <w:keepLines w:val="0"/>
              <w:pageBreakBefore w:val="0"/>
              <w:widowControl w:val="0"/>
              <w:kinsoku/>
              <w:wordWrap/>
              <w:overflowPunct/>
              <w:topLinePunct w:val="0"/>
              <w:bidi w:val="0"/>
              <w:snapToGrid w:val="0"/>
              <w:spacing w:line="480" w:lineRule="auto"/>
              <w:jc w:val="both"/>
              <w:textAlignment w:val="auto"/>
              <w:outlineLvl w:val="9"/>
              <w:rPr>
                <w:rFonts w:hint="eastAsia" w:ascii="宋体" w:hAnsi="宋体" w:eastAsia="宋体" w:cs="宋体"/>
                <w:color w:val="auto"/>
                <w:sz w:val="24"/>
                <w:szCs w:val="24"/>
                <w:highlight w:val="none"/>
              </w:rPr>
            </w:pPr>
          </w:p>
        </w:tc>
      </w:tr>
    </w:tbl>
    <w:p w14:paraId="300CF4A8">
      <w:pPr>
        <w:keepNext w:val="0"/>
        <w:keepLines w:val="0"/>
        <w:pageBreakBefore w:val="0"/>
        <w:widowControl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color w:val="auto"/>
          <w:sz w:val="24"/>
          <w:szCs w:val="24"/>
          <w:highlight w:val="none"/>
        </w:rPr>
      </w:pPr>
    </w:p>
    <w:p w14:paraId="4F81B277">
      <w:pPr>
        <w:keepNext w:val="0"/>
        <w:keepLines w:val="0"/>
        <w:pageBreakBefore w:val="0"/>
        <w:widowControl w:val="0"/>
        <w:kinsoku/>
        <w:wordWrap/>
        <w:overflowPunct/>
        <w:topLinePunct w:val="0"/>
        <w:bidi w:val="0"/>
        <w:adjustRightInd w:val="0"/>
        <w:snapToGrid w:val="0"/>
        <w:spacing w:line="360" w:lineRule="auto"/>
        <w:ind w:right="420"/>
        <w:textAlignment w:val="auto"/>
        <w:outlineLvl w:val="9"/>
        <w:rPr>
          <w:rFonts w:hint="eastAsia" w:ascii="宋体" w:hAnsi="宋体" w:eastAsia="宋体" w:cs="宋体"/>
          <w:color w:val="auto"/>
          <w:sz w:val="24"/>
          <w:szCs w:val="24"/>
          <w:highlight w:val="none"/>
        </w:rPr>
      </w:pPr>
    </w:p>
    <w:p w14:paraId="0EA7A40C">
      <w:pPr>
        <w:keepNext w:val="0"/>
        <w:keepLines w:val="0"/>
        <w:pageBreakBefore w:val="0"/>
        <w:widowControl w:val="0"/>
        <w:kinsoku/>
        <w:wordWrap/>
        <w:overflowPunct/>
        <w:topLinePunct w:val="0"/>
        <w:bidi w:val="0"/>
        <w:adjustRightInd w:val="0"/>
        <w:snapToGrid w:val="0"/>
        <w:spacing w:line="360" w:lineRule="auto"/>
        <w:ind w:right="420" w:firstLine="240" w:firstLineChars="100"/>
        <w:textAlignment w:val="auto"/>
        <w:outlineLvl w:val="9"/>
        <w:rPr>
          <w:rFonts w:hint="eastAsia" w:ascii="宋体" w:hAnsi="宋体" w:eastAsia="宋体" w:cs="宋体"/>
          <w:color w:val="auto"/>
          <w:sz w:val="24"/>
          <w:szCs w:val="24"/>
          <w:highlight w:val="none"/>
        </w:rPr>
      </w:pPr>
    </w:p>
    <w:p w14:paraId="4F347769">
      <w:pPr>
        <w:keepNext w:val="0"/>
        <w:keepLines w:val="0"/>
        <w:pageBreakBefore w:val="0"/>
        <w:widowControl w:val="0"/>
        <w:kinsoku/>
        <w:wordWrap/>
        <w:overflowPunct/>
        <w:topLinePunct w:val="0"/>
        <w:bidi w:val="0"/>
        <w:adjustRightInd w:val="0"/>
        <w:snapToGrid w:val="0"/>
        <w:spacing w:line="360" w:lineRule="auto"/>
        <w:ind w:right="420" w:firstLine="3720" w:firstLineChars="15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2EC17A7">
      <w:pPr>
        <w:keepNext w:val="0"/>
        <w:keepLines w:val="0"/>
        <w:pageBreakBefore w:val="0"/>
        <w:widowControl w:val="0"/>
        <w:kinsoku/>
        <w:wordWrap/>
        <w:overflowPunct/>
        <w:topLinePunct w:val="0"/>
        <w:bidi w:val="0"/>
        <w:adjustRightInd w:val="0"/>
        <w:snapToGrid w:val="0"/>
        <w:spacing w:line="360" w:lineRule="auto"/>
        <w:ind w:right="420" w:firstLine="3840" w:firstLineChars="16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DA1884D">
      <w:pPr>
        <w:keepNext w:val="0"/>
        <w:keepLines w:val="0"/>
        <w:pageBreakBefore w:val="0"/>
        <w:widowControl w:val="0"/>
        <w:kinsoku/>
        <w:wordWrap/>
        <w:overflowPunct/>
        <w:topLinePunct w:val="0"/>
        <w:bidi w:val="0"/>
        <w:adjustRightInd w:val="0"/>
        <w:snapToGrid w:val="0"/>
        <w:spacing w:line="360" w:lineRule="auto"/>
        <w:ind w:right="420" w:firstLine="240" w:firstLineChars="100"/>
        <w:textAlignment w:val="auto"/>
        <w:outlineLvl w:val="9"/>
        <w:rPr>
          <w:rFonts w:hint="eastAsia" w:ascii="宋体" w:hAnsi="宋体" w:eastAsia="宋体" w:cs="宋体"/>
          <w:color w:val="auto"/>
          <w:sz w:val="24"/>
          <w:szCs w:val="24"/>
          <w:highlight w:val="none"/>
        </w:rPr>
      </w:pPr>
    </w:p>
    <w:p w14:paraId="68A4DC53">
      <w:pPr>
        <w:keepNext w:val="0"/>
        <w:keepLines w:val="0"/>
        <w:pageBreakBefore w:val="0"/>
        <w:widowControl w:val="0"/>
        <w:kinsoku/>
        <w:wordWrap/>
        <w:overflowPunct/>
        <w:topLinePunct w:val="0"/>
        <w:bidi w:val="0"/>
        <w:adjustRightInd w:val="0"/>
        <w:snapToGrid w:val="0"/>
        <w:spacing w:line="360" w:lineRule="auto"/>
        <w:ind w:right="420" w:firstLine="240" w:firstLineChars="1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2B17A34C">
      <w:pPr>
        <w:rPr>
          <w:rFonts w:hint="eastAsia" w:ascii="宋体" w:hAnsi="宋体" w:cs="宋体"/>
          <w:b/>
          <w:bCs/>
          <w:color w:val="auto"/>
          <w:sz w:val="24"/>
          <w:szCs w:val="24"/>
          <w:highlight w:val="none"/>
          <w:lang w:val="en-US" w:eastAsia="zh-CN"/>
        </w:rPr>
      </w:pPr>
      <w:bookmarkStart w:id="0" w:name="_Toc14808"/>
      <w:r>
        <w:rPr>
          <w:rFonts w:hint="eastAsia" w:ascii="宋体" w:hAnsi="宋体" w:cs="宋体"/>
          <w:b/>
          <w:bCs/>
          <w:color w:val="auto"/>
          <w:sz w:val="24"/>
          <w:szCs w:val="24"/>
          <w:highlight w:val="none"/>
          <w:lang w:val="en-US" w:eastAsia="zh-CN"/>
        </w:rPr>
        <w:br w:type="page"/>
      </w:r>
    </w:p>
    <w:p w14:paraId="32DE2F97">
      <w:pPr>
        <w:keepNext w:val="0"/>
        <w:keepLines w:val="0"/>
        <w:pageBreakBefore w:val="0"/>
        <w:widowControl w:val="0"/>
        <w:kinsoku/>
        <w:wordWrap/>
        <w:overflowPunct/>
        <w:topLinePunct w:val="0"/>
        <w:bidi w:val="0"/>
        <w:adjustRightInd w:val="0"/>
        <w:snapToGrid w:val="0"/>
        <w:spacing w:line="360" w:lineRule="auto"/>
        <w:jc w:val="left"/>
        <w:textAlignment w:val="auto"/>
        <w:outlineLvl w:val="9"/>
        <w:rPr>
          <w:rFonts w:hint="eastAsia" w:ascii="宋体" w:hAnsi="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格式2：</w:t>
      </w:r>
    </w:p>
    <w:p w14:paraId="79D90838">
      <w:pPr>
        <w:adjustRightInd w:val="0"/>
        <w:snapToGrid w:val="0"/>
        <w:spacing w:line="360" w:lineRule="auto"/>
        <w:ind w:right="420" w:firstLine="3132" w:firstLineChars="1300"/>
        <w:outlineLvl w:val="9"/>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0"/>
    </w:p>
    <w:p w14:paraId="23065043">
      <w:pPr>
        <w:spacing w:line="400" w:lineRule="exact"/>
        <w:ind w:firstLine="480" w:firstLineChars="200"/>
        <w:rPr>
          <w:rFonts w:hint="eastAsia" w:ascii="宋体" w:hAnsi="宋体" w:eastAsia="宋体" w:cs="宋体"/>
          <w:color w:val="auto"/>
          <w:sz w:val="24"/>
          <w:szCs w:val="24"/>
          <w:highlight w:val="none"/>
        </w:rPr>
      </w:pPr>
    </w:p>
    <w:p w14:paraId="64F489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投标单位</w:t>
      </w:r>
      <w:r>
        <w:rPr>
          <w:rFonts w:hint="eastAsia" w:ascii="宋体" w:hAnsi="宋体" w:eastAsia="宋体" w:cs="宋体"/>
          <w:color w:val="auto"/>
          <w:sz w:val="24"/>
          <w:szCs w:val="24"/>
          <w:highlight w:val="none"/>
          <w:lang w:val="zh-CN"/>
        </w:rPr>
        <w:t>名称）的法定代表人（单位负责人），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14:paraId="107DB593">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cs="宋体"/>
          <w:sz w:val="24"/>
          <w:szCs w:val="24"/>
          <w:u w:val="none"/>
          <w:lang w:val="en-US" w:eastAsia="zh-CN"/>
        </w:rPr>
        <w:t>本授权书自投标文件递交截止之日起计算有效起为</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日历天</w:t>
      </w:r>
      <w:r>
        <w:rPr>
          <w:rFonts w:hint="eastAsia" w:ascii="宋体" w:hAnsi="宋体" w:cs="宋体"/>
          <w:sz w:val="24"/>
          <w:szCs w:val="24"/>
          <w:lang w:val="zh-CN"/>
        </w:rPr>
        <w:t>。</w:t>
      </w:r>
    </w:p>
    <w:p w14:paraId="15B1B59E">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4992C864">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7"/>
        <w:tblW w:w="8099" w:type="dxa"/>
        <w:tblInd w:w="540" w:type="dxa"/>
        <w:tblLayout w:type="fixed"/>
        <w:tblCellMar>
          <w:top w:w="0" w:type="dxa"/>
          <w:left w:w="108" w:type="dxa"/>
          <w:bottom w:w="0" w:type="dxa"/>
          <w:right w:w="108" w:type="dxa"/>
        </w:tblCellMar>
      </w:tblPr>
      <w:tblGrid>
        <w:gridCol w:w="4065"/>
        <w:gridCol w:w="4034"/>
      </w:tblGrid>
      <w:tr w14:paraId="3DAB980F">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14:paraId="7B1CA218">
            <w:pPr>
              <w:spacing w:line="360" w:lineRule="auto"/>
              <w:jc w:val="center"/>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14:paraId="604AEFFA">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14:paraId="0F36D7F8">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14:paraId="61E02646">
      <w:pPr>
        <w:rPr>
          <w:rFonts w:hint="eastAsia" w:ascii="宋体" w:hAnsi="宋体" w:eastAsia="宋体" w:cs="宋体"/>
          <w:color w:val="auto"/>
          <w:sz w:val="24"/>
          <w:szCs w:val="24"/>
          <w:highlight w:val="none"/>
        </w:rPr>
      </w:pPr>
    </w:p>
    <w:p w14:paraId="5762B462">
      <w:pPr>
        <w:spacing w:line="240" w:lineRule="auto"/>
        <w:ind w:firstLine="480" w:firstLineChars="200"/>
        <w:rPr>
          <w:rFonts w:hint="eastAsia" w:ascii="宋体" w:hAnsi="宋体" w:eastAsia="宋体" w:cs="宋体"/>
          <w:color w:val="auto"/>
          <w:sz w:val="24"/>
          <w:szCs w:val="24"/>
          <w:highlight w:val="none"/>
        </w:rPr>
      </w:pPr>
    </w:p>
    <w:p w14:paraId="2F11A4B8">
      <w:pPr>
        <w:keepNext w:val="0"/>
        <w:keepLines w:val="0"/>
        <w:pageBreakBefore w:val="0"/>
        <w:widowControl w:val="0"/>
        <w:kinsoku/>
        <w:wordWrap/>
        <w:overflowPunct/>
        <w:topLinePunct w:val="0"/>
        <w:autoSpaceDE/>
        <w:autoSpaceDN/>
        <w:bidi w:val="0"/>
        <w:adjustRightInd/>
        <w:snapToGrid/>
        <w:spacing w:line="312" w:lineRule="auto"/>
        <w:ind w:firstLine="3240" w:firstLineChars="13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14:paraId="16B014A2">
      <w:pPr>
        <w:keepNext w:val="0"/>
        <w:keepLines w:val="0"/>
        <w:pageBreakBefore w:val="0"/>
        <w:widowControl w:val="0"/>
        <w:kinsoku/>
        <w:wordWrap/>
        <w:overflowPunct/>
        <w:topLinePunct w:val="0"/>
        <w:autoSpaceDE/>
        <w:autoSpaceDN/>
        <w:bidi w:val="0"/>
        <w:adjustRightInd/>
        <w:snapToGrid/>
        <w:spacing w:line="312" w:lineRule="auto"/>
        <w:ind w:firstLine="3240" w:firstLineChars="13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5018B683">
      <w:pPr>
        <w:keepNext w:val="0"/>
        <w:keepLines w:val="0"/>
        <w:pageBreakBefore w:val="0"/>
        <w:widowControl w:val="0"/>
        <w:kinsoku/>
        <w:wordWrap/>
        <w:overflowPunct/>
        <w:topLinePunct w:val="0"/>
        <w:autoSpaceDE/>
        <w:autoSpaceDN/>
        <w:bidi w:val="0"/>
        <w:adjustRightInd/>
        <w:snapToGrid/>
        <w:spacing w:line="312" w:lineRule="auto"/>
        <w:ind w:firstLine="3240" w:firstLineChars="13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14:paraId="29A22BA4">
      <w:pPr>
        <w:keepNext w:val="0"/>
        <w:keepLines w:val="0"/>
        <w:pageBreakBefore w:val="0"/>
        <w:widowControl w:val="0"/>
        <w:kinsoku/>
        <w:wordWrap/>
        <w:overflowPunct/>
        <w:topLinePunct w:val="0"/>
        <w:autoSpaceDE/>
        <w:autoSpaceDN/>
        <w:bidi w:val="0"/>
        <w:adjustRightInd/>
        <w:snapToGrid/>
        <w:spacing w:line="312" w:lineRule="auto"/>
        <w:ind w:firstLine="3240" w:firstLineChars="13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     </w:t>
      </w:r>
    </w:p>
    <w:p w14:paraId="5D0609DE">
      <w:pPr>
        <w:keepNext w:val="0"/>
        <w:keepLines w:val="0"/>
        <w:pageBreakBefore w:val="0"/>
        <w:widowControl w:val="0"/>
        <w:kinsoku/>
        <w:wordWrap/>
        <w:overflowPunct/>
        <w:topLinePunct w:val="0"/>
        <w:autoSpaceDE/>
        <w:autoSpaceDN/>
        <w:bidi w:val="0"/>
        <w:adjustRightInd/>
        <w:snapToGrid/>
        <w:spacing w:line="312" w:lineRule="auto"/>
        <w:ind w:firstLine="3240" w:firstLineChars="13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14:paraId="57571E58">
      <w:pPr>
        <w:keepNext w:val="0"/>
        <w:keepLines w:val="0"/>
        <w:pageBreakBefore w:val="0"/>
        <w:widowControl w:val="0"/>
        <w:kinsoku/>
        <w:wordWrap/>
        <w:overflowPunct/>
        <w:topLinePunct w:val="0"/>
        <w:autoSpaceDE/>
        <w:autoSpaceDN/>
        <w:bidi w:val="0"/>
        <w:adjustRightInd/>
        <w:snapToGrid/>
        <w:spacing w:line="312" w:lineRule="auto"/>
        <w:ind w:firstLine="3120" w:firstLineChars="13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9EE943">
      <w:pPr>
        <w:ind w:firstLine="480" w:firstLineChars="200"/>
        <w:rPr>
          <w:rFonts w:hint="eastAsia" w:ascii="宋体" w:hAnsi="宋体" w:eastAsia="宋体" w:cs="宋体"/>
          <w:color w:val="auto"/>
          <w:sz w:val="24"/>
          <w:szCs w:val="24"/>
          <w:highlight w:val="none"/>
          <w:lang w:val="zh-CN"/>
        </w:rPr>
      </w:pPr>
    </w:p>
    <w:p w14:paraId="460428FE">
      <w:pPr>
        <w:pStyle w:val="2"/>
        <w:rPr>
          <w:rFonts w:hint="eastAsia"/>
          <w:lang w:val="zh-CN"/>
        </w:rPr>
      </w:pPr>
    </w:p>
    <w:p w14:paraId="2473EF3A">
      <w:pP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33349B19">
      <w:pPr>
        <w:numPr>
          <w:ilvl w:val="0"/>
          <w:numId w:val="0"/>
        </w:numPr>
        <w:ind w:firstLine="720" w:firstLineChars="300"/>
        <w:rPr>
          <w:rFonts w:hint="eastAsia" w:ascii="宋体" w:hAnsi="宋体" w:cs="宋体"/>
          <w:sz w:val="24"/>
          <w:szCs w:val="24"/>
          <w:lang w:val="en-US" w:eastAsia="zh-CN"/>
        </w:rPr>
      </w:pPr>
      <w:r>
        <w:rPr>
          <w:rFonts w:hint="eastAsia" w:ascii="宋体" w:hAnsi="宋体" w:cs="宋体"/>
          <w:sz w:val="24"/>
          <w:szCs w:val="24"/>
          <w:lang w:val="en-US" w:eastAsia="zh-CN"/>
        </w:rPr>
        <w:t>2.本授权书有效期自投标文件递交截止之日起计算不得少于90日历天。</w:t>
      </w:r>
    </w:p>
    <w:p w14:paraId="3E0FD13D">
      <w:pPr>
        <w:numPr>
          <w:ilvl w:val="0"/>
          <w:numId w:val="0"/>
        </w:numPr>
        <w:bidi w:val="0"/>
        <w:spacing w:line="360" w:lineRule="auto"/>
        <w:ind w:firstLine="720" w:firstLineChars="300"/>
        <w:rPr>
          <w:rFonts w:hint="eastAsia" w:ascii="宋体" w:hAnsi="宋体" w:eastAsia="宋体" w:cs="宋体"/>
          <w:spacing w:val="2"/>
          <w:sz w:val="24"/>
          <w:szCs w:val="24"/>
          <w:lang w:eastAsia="zh-CN"/>
        </w:rPr>
      </w:pPr>
      <w:bookmarkStart w:id="1" w:name="_Toc29472"/>
      <w:r>
        <w:rPr>
          <w:rFonts w:hint="eastAsia" w:ascii="宋体" w:hAnsi="宋体" w:cs="宋体"/>
          <w:sz w:val="24"/>
          <w:szCs w:val="24"/>
          <w:lang w:val="en-US" w:eastAsia="zh-CN"/>
        </w:rPr>
        <w:t>3.授权书内容填写要明确，文字要工整清楚，涂改无效。</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ABB3ACAE-C452-4C7E-96B9-8DE4FF49B74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lZDU2OGEzYjA1OGQ3NzM4ODlmYTZiMzQ1OTEzNTcifQ=="/>
  </w:docVars>
  <w:rsids>
    <w:rsidRoot w:val="00000000"/>
    <w:rsid w:val="0E964F16"/>
    <w:rsid w:val="0F7A1E32"/>
    <w:rsid w:val="10A256AE"/>
    <w:rsid w:val="2C8768C3"/>
    <w:rsid w:val="369E0EF6"/>
    <w:rsid w:val="391B682D"/>
    <w:rsid w:val="3CDB07AE"/>
    <w:rsid w:val="558461BE"/>
    <w:rsid w:val="6A265B7B"/>
    <w:rsid w:val="6C586BB4"/>
    <w:rsid w:val="6CCB2955"/>
    <w:rsid w:val="7541694A"/>
    <w:rsid w:val="7B3F7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qFormat/>
    <w:uiPriority w:val="0"/>
    <w:pPr>
      <w:keepNext/>
      <w:outlineLvl w:val="3"/>
    </w:pPr>
    <w:rPr>
      <w:color w:val="FF0000"/>
      <w:sz w:val="28"/>
      <w:u w:val="single"/>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pPr>
    <w:rPr>
      <w:szCs w:val="20"/>
    </w:rPr>
  </w:style>
  <w:style w:type="paragraph" w:styleId="5">
    <w:name w:val="Body Text Indent"/>
    <w:basedOn w:val="1"/>
    <w:next w:val="6"/>
    <w:qFormat/>
    <w:uiPriority w:val="0"/>
    <w:pPr>
      <w:spacing w:after="120"/>
      <w:ind w:left="420" w:leftChars="200"/>
    </w:pPr>
    <w:rPr>
      <w:b/>
      <w:color w:val="000000"/>
      <w:kern w:val="0"/>
      <w:sz w:val="24"/>
      <w:szCs w:val="24"/>
    </w:rPr>
  </w:style>
  <w:style w:type="paragraph" w:styleId="6">
    <w:name w:val="envelope return"/>
    <w:basedOn w:val="1"/>
    <w:qFormat/>
    <w:uiPriority w:val="0"/>
    <w:pPr>
      <w:snapToGrid w:val="0"/>
    </w:pPr>
    <w:rPr>
      <w:rFonts w:ascii="Arial" w:hAnsi="Arial"/>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1257</Words>
  <Characters>1306</Characters>
  <Lines>0</Lines>
  <Paragraphs>0</Paragraphs>
  <TotalTime>1</TotalTime>
  <ScaleCrop>false</ScaleCrop>
  <LinksUpToDate>false</LinksUpToDate>
  <CharactersWithSpaces>1649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上官官官</cp:lastModifiedBy>
  <dcterms:modified xsi:type="dcterms:W3CDTF">2024-08-15T10:52:41Z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06DBEF4BDEEF44159FB9A42EC8ACA8F0_12</vt:lpwstr>
  </property>
</Properties>
</file>