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1A57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5DAEB8C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95A6FAE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1F31A57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B19314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检验依据是整顿办函[2011]1号《食品中可能违法添加的非食用物质和易滥用的食品添加剂品种名单(第五批)》。</w:t>
      </w:r>
    </w:p>
    <w:p w14:paraId="6BC79F2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506C04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C3D5C33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5D09E74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393BF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A8AEE26">
      <w:pPr>
        <w:numPr>
          <w:ilvl w:val="0"/>
          <w:numId w:val="1"/>
        </w:num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检验项目</w:t>
      </w:r>
    </w:p>
    <w:p w14:paraId="187D5F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22A72FF">
      <w:pPr>
        <w:pStyle w:val="2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、食用农产品</w:t>
      </w:r>
    </w:p>
    <w:p w14:paraId="32BD500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81C1D5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22556-2008《豆芽卫生标准》。</w:t>
      </w:r>
    </w:p>
    <w:p w14:paraId="7AAC827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7D8A80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甲基对硫磷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杀扑磷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18C6"/>
    <w:multiLevelType w:val="singleLevel"/>
    <w:tmpl w:val="DFF518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41457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71C52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2502A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586</Words>
  <Characters>681</Characters>
  <Lines>19</Lines>
  <Paragraphs>5</Paragraphs>
  <TotalTime>45</TotalTime>
  <ScaleCrop>false</ScaleCrop>
  <LinksUpToDate>false</LinksUpToDate>
  <CharactersWithSpaces>698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2024-06-17T04:03:48Z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961BE9A45AB1440084B51677A460E5C4</vt:lpwstr>
  </property>
</Properties>
</file>