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05" w:tblpY="3312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1"/>
        <w:gridCol w:w="1148"/>
        <w:gridCol w:w="2191"/>
        <w:gridCol w:w="1646"/>
        <w:gridCol w:w="710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区县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申请机构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养老机构名称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机构类型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评审补助金额（单位：万元）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西安市雁塔区福乐康智慧养老服务中心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雁西社区养老服务站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青龙社区养老服务站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上城社区养老服务站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雁翔社区养老服务站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省委东社区养老服务站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西延路社区养老服务站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交大财经社区养老服务站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乐游东路社区养老服务站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昌明西路社区养老服务站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丁白社区养老服务站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社区养老服务站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2023年养老服务机构规模化连锁化补助申请汇总表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2Y4Y2JiNmE0MTU1ZjU1OTY5ZDFkZTFjZjdjNGUifQ=="/>
  </w:docVars>
  <w:rsids>
    <w:rsidRoot w:val="7D4A5126"/>
    <w:rsid w:val="7D4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2024-05-31T07:37:00Z</dcterms:created>
  <dc:creator>张欣怡</dc:creator>
  <cp:lastModifiedBy>张欣怡</cp:lastModifiedBy>
  <dcterms:modified xsi:type="dcterms:W3CDTF">2024-05-31T07:47:32Z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2A43A770C4F949CFA1756CA6B49AC105_11</vt:lpwstr>
  </property>
</Properties>
</file>