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包括苯甲酸及其钠盐(以苯甲酸计)、铬(以Cr计)、山梨酸及其钾盐(以山梨酸计)、糖精钠(以糖精计)、亚硝酸盐(以亚硝酸钠计)、胭脂红、总砷(以As计)。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pStyle w:val="3"/>
        <w:bidi w:val="0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（一）检验依据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酒类的检验依据是GB 2760-2014《食品安全国家标准 食品添加剂使用标准》。</w:t>
      </w:r>
    </w:p>
    <w:p>
      <w:pPr>
        <w:pStyle w:val="3"/>
        <w:bidi w:val="0"/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 w:val="0"/>
          <w:kern w:val="0"/>
          <w:sz w:val="32"/>
          <w:szCs w:val="32"/>
          <w:lang w:val="en-US" w:eastAsia="zh-CN" w:bidi="ar-SA"/>
        </w:rPr>
        <w:t>（二）检验项目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酒类的检验项目包括苯甲酸及其钠盐(以苯甲酸计)、山梨酸及其钾盐(以山梨酸计)、糖精钠(以糖精计)。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1A5BA"/>
    <w:multiLevelType w:val="singleLevel"/>
    <w:tmpl w:val="F981A5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0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2023-12-19T09:40:26Z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965E2C863CE44195831142E55B0E08E7_13</vt:lpwstr>
  </property>
</Properties>
</file>