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食品中污染物限量》，GB 14934-2016《食品安全国家标准 消毒餐(饮)具》。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2.酱腌菜(自制)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3.凉粉类(自制)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辣椒、花椒、辣椒粉、花椒粉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Q/HQS 0001S-2020 《腐竹、豆油皮及制品》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腐竹、油皮及其再制品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2761-2017《食品安全国家标准 食品中真菌毒素限量》，GB 2762-2017《食品安全国家标准 食品中污染物限量》，GB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1.大米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苯并（a）芘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2.发酵面制品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白砂糖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坚果与籽类食品》，GB 22556-2008《豆芽卫生标准》，国家食品药品监督管理总局 农业部 国家卫生和计划生育委员会关于豆芽生产过程中禁止使用6-苄基腺嘌呤等物质的公告(2015 年第 11 号)，GB 2761-2017《食品安全国家标准 食品中真菌毒素限量》，GB 2762-2017《食品安全国家标准 食品中污染物限量》，GB 2763-2021《食品安全国家标准 食品中农药最大残留限量》，GB 2763.1-2022《食品安全国家标准食品中2，4-滴丁酸钠盐等112种农药最大残留限量》、GB 31650-2019《食品安全国家标准 食品中兽药最大残留限量》，农业农村部公告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1.淡水鱼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2.豆类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3.豆芽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亚硫酸盐（以SO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6-BA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以4-氯苯氧乙酸计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5.韭菜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6.芹菜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7.生干籽类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8.豇豆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水果干制品(含干枸杞)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5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2023-08-17T03:26:27Z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