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饼干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饼干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铝的残留量(干样品,以Al计)。</w:t>
      </w:r>
    </w:p>
    <w:p>
      <w:pPr>
        <w:pStyle w:val="2"/>
      </w:pPr>
      <w:r>
        <w:rPr>
          <w:rFonts w:hint="eastAsia"/>
          <w:lang w:eastAsia="zh-CN"/>
        </w:rPr>
        <w:t>二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14934-2016《食品安全国家标准 消毒餐(饮)具》，整顿办函[2011]1号《食品中可能违法添加的非食用物质和易滥用的食品添加剂品种名单(第五批)》。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甜蜜素(以环己基氨基磺酸计)。</w:t>
      </w:r>
    </w:p>
    <w:p>
      <w:pPr>
        <w:pStyle w:val="2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茶叶及相关</w:t>
      </w:r>
      <w:r>
        <w:rPr>
          <w:rFonts w:hint="eastAsia"/>
        </w:rPr>
        <w:t>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茶叶及相关制品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炒货食品及坚果制品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蛋制品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2749-2015《食品安全国家标准 蛋与蛋制品》。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蛋制品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的检验项目包括商业无菌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淀粉及淀粉制品的检验项目包括铝的残留量(干样品,以Al计)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豆制品的检验项目包括铝的残留量(干样品,以Al计)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方便食品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17400-2015《食品安全国家标准 方便面》，产品明示标准和质量要求。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方便食品的检验项目包括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水分、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2761-2017《食品安全国家标准 食品中真菌毒素限量》，GB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罐头的检验项目包括黄曲霉毒素B₁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酒类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2762-2017《食品安全国家标准 食品中污染物限量》，GB 2760-2014《食品安全国家标准 食品添加剂使用标准》，GB 2757-2012《食品安全国家标准 蒸馏酒及其配制酒》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，GB/T 10781.1-2021《白酒质量要求 第1部分:浓香型白酒》，GB 2758-2012《食品安全国家标准 发酵酒及其配制酒》，产品明示标准和质量要求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酒类的检验项目包括甲醛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酒精度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甲醇(按100%酒精度折算)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氰化物(以HCN计)(按100%酒精度折算)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-20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《食品安全国家标准 食品中农药最大残留限量》。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8</Pages>
  <Words>2702</Words>
  <Characters>3128</Characters>
  <Lines>19</Lines>
  <Paragraphs>5</Paragraphs>
  <TotalTime>104</TotalTime>
  <ScaleCrop>false</ScaleCrop>
  <LinksUpToDate>false</LinksUpToDate>
  <CharactersWithSpaces>3205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2023-08-15T09:07:17Z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