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42" w:rsidRDefault="00D678F4" w:rsidP="001B7E7F">
      <w:pPr>
        <w:spacing w:line="560" w:lineRule="exact"/>
        <w:jc w:val="center"/>
        <w:rPr>
          <w:rFonts w:ascii="方正小标宋简体" w:eastAsia="方正小标宋简体"/>
          <w:sz w:val="44"/>
          <w:szCs w:val="44"/>
        </w:rPr>
      </w:pPr>
      <w:r>
        <w:rPr>
          <w:rFonts w:ascii="方正小标宋简体" w:eastAsia="方正小标宋简体" w:hint="eastAsia"/>
          <w:bCs/>
          <w:color w:val="000000" w:themeColor="text1"/>
          <w:sz w:val="44"/>
          <w:szCs w:val="44"/>
        </w:rPr>
        <w:t>中华世纪城二期7#商业裙楼“2</w:t>
      </w:r>
      <w:r>
        <w:rPr>
          <w:rFonts w:eastAsia="方正小标宋简体"/>
          <w:bCs/>
          <w:color w:val="000000" w:themeColor="text1"/>
          <w:sz w:val="44"/>
          <w:szCs w:val="44"/>
        </w:rPr>
        <w:t>·</w:t>
      </w:r>
      <w:r>
        <w:rPr>
          <w:rFonts w:ascii="方正小标宋简体" w:eastAsia="方正小标宋简体" w:hint="eastAsia"/>
          <w:bCs/>
          <w:color w:val="000000" w:themeColor="text1"/>
          <w:sz w:val="44"/>
          <w:szCs w:val="44"/>
        </w:rPr>
        <w:t>23”屋檐装饰瓦脱落事件</w:t>
      </w:r>
      <w:r>
        <w:rPr>
          <w:rFonts w:ascii="方正小标宋简体" w:eastAsia="方正小标宋简体" w:hint="eastAsia"/>
          <w:color w:val="000000" w:themeColor="text1"/>
          <w:sz w:val="44"/>
          <w:szCs w:val="44"/>
        </w:rPr>
        <w:t>整改措施落实情况</w:t>
      </w:r>
      <w:r>
        <w:rPr>
          <w:rFonts w:ascii="方正小标宋简体" w:eastAsia="方正小标宋简体" w:hint="eastAsia"/>
          <w:sz w:val="44"/>
          <w:szCs w:val="44"/>
        </w:rPr>
        <w:t>评估报告</w:t>
      </w:r>
    </w:p>
    <w:p w:rsidR="00D93042" w:rsidRDefault="00D93042">
      <w:pPr>
        <w:spacing w:line="560" w:lineRule="exact"/>
        <w:jc w:val="center"/>
        <w:rPr>
          <w:rFonts w:ascii="方正小标宋简体" w:eastAsia="方正小标宋简体"/>
          <w:sz w:val="44"/>
          <w:szCs w:val="44"/>
        </w:rPr>
      </w:pPr>
    </w:p>
    <w:p w:rsidR="00D93042" w:rsidRDefault="00D678F4">
      <w:pPr>
        <w:spacing w:line="560" w:lineRule="exact"/>
        <w:ind w:firstLineChars="200" w:firstLine="640"/>
      </w:pPr>
      <w:r>
        <w:t>2021</w:t>
      </w:r>
      <w:r>
        <w:t>年</w:t>
      </w:r>
      <w:r>
        <w:t>2</w:t>
      </w:r>
      <w:r>
        <w:t>月</w:t>
      </w:r>
      <w:r>
        <w:t>23</w:t>
      </w:r>
      <w:r>
        <w:t>日</w:t>
      </w:r>
      <w:r>
        <w:t>20</w:t>
      </w:r>
      <w:r>
        <w:t>时</w:t>
      </w:r>
      <w:r>
        <w:t>30</w:t>
      </w:r>
      <w:r>
        <w:t>分左右，位于西安市雁塔区科技路</w:t>
      </w:r>
      <w:r>
        <w:t>239</w:t>
      </w:r>
      <w:r>
        <w:t>号的中华世纪城二期</w:t>
      </w:r>
      <w:r>
        <w:t>7#</w:t>
      </w:r>
      <w:r>
        <w:t>商业裙楼西侧商铺（又名中华世纪城花间小路商铺）的潮汕牛肉火锅店</w:t>
      </w:r>
      <w:r>
        <w:t>2</w:t>
      </w:r>
      <w:r>
        <w:t>层楼顶屋檐装饰瓦脱落，致店外就餐的</w:t>
      </w:r>
      <w:r>
        <w:t>4</w:t>
      </w:r>
      <w:r>
        <w:t>人受伤，另有路边的车辆被砸。</w:t>
      </w:r>
    </w:p>
    <w:p w:rsidR="00D93042" w:rsidRDefault="00D678F4">
      <w:pPr>
        <w:spacing w:line="560" w:lineRule="exact"/>
        <w:ind w:firstLineChars="150" w:firstLine="480"/>
      </w:pPr>
      <w:r>
        <w:t>事情发生后，雁塔区人民政府批准由区应急管理局牵头，区住建局、区城市管理局、公安雁塔分局</w:t>
      </w:r>
      <w:r>
        <w:rPr>
          <w:rFonts w:hint="eastAsia"/>
        </w:rPr>
        <w:t>、</w:t>
      </w:r>
      <w:r>
        <w:t>漳浒寨街</w:t>
      </w:r>
      <w:r>
        <w:rPr>
          <w:rFonts w:hint="eastAsia"/>
        </w:rPr>
        <w:t>道</w:t>
      </w:r>
      <w:r>
        <w:t>办等单位共同参加，根据不同职责，对中华世纪城二期</w:t>
      </w:r>
      <w:r>
        <w:t>7#</w:t>
      </w:r>
      <w:r>
        <w:t>商业裙楼</w:t>
      </w:r>
      <w:r>
        <w:t>“2·23”</w:t>
      </w:r>
      <w:r>
        <w:t>屋檐脱落伤人一事依法依规开展调查。</w:t>
      </w:r>
    </w:p>
    <w:p w:rsidR="00D93042" w:rsidRDefault="00D678F4">
      <w:pPr>
        <w:spacing w:line="560" w:lineRule="exact"/>
        <w:ind w:firstLineChars="200" w:firstLine="640"/>
      </w:pPr>
      <w:r>
        <w:rPr>
          <w:bCs/>
          <w:color w:val="000000"/>
        </w:rPr>
        <w:t>按照市安委办关于开展事故调查处理和整改措施落实情况评估工作要求，根据</w:t>
      </w:r>
      <w:r>
        <w:t>《</w:t>
      </w:r>
      <w:r>
        <w:rPr>
          <w:color w:val="000000" w:themeColor="text1"/>
        </w:rPr>
        <w:t>陕西省生产安全事故责任追究和整改措施落实情况暂行办法》</w:t>
      </w:r>
      <w:r>
        <w:rPr>
          <w:rFonts w:hint="eastAsia"/>
          <w:color w:val="000000" w:themeColor="text1"/>
        </w:rPr>
        <w:t>的</w:t>
      </w:r>
      <w:r>
        <w:rPr>
          <w:color w:val="000000" w:themeColor="text1"/>
        </w:rPr>
        <w:t>规定</w:t>
      </w:r>
      <w:r>
        <w:t>，雁塔区人民政府决定成立由区应急管理局牵头，</w:t>
      </w:r>
      <w:r>
        <w:rPr>
          <w:color w:val="000000" w:themeColor="text1"/>
        </w:rPr>
        <w:t>区住建局、区城管局、公安雁塔分局、漳浒寨街道办为</w:t>
      </w:r>
      <w:r>
        <w:t>成员的事故调查处理评估组，对</w:t>
      </w:r>
      <w:r>
        <w:rPr>
          <w:bCs/>
        </w:rPr>
        <w:t>中华世纪城二期</w:t>
      </w:r>
      <w:r>
        <w:rPr>
          <w:bCs/>
        </w:rPr>
        <w:t>7#</w:t>
      </w:r>
      <w:r>
        <w:rPr>
          <w:bCs/>
        </w:rPr>
        <w:t>商业裙楼</w:t>
      </w:r>
      <w:r>
        <w:rPr>
          <w:bCs/>
        </w:rPr>
        <w:t>“</w:t>
      </w:r>
      <w:r>
        <w:t>2·23</w:t>
      </w:r>
      <w:r>
        <w:rPr>
          <w:bCs/>
        </w:rPr>
        <w:t>”</w:t>
      </w:r>
      <w:r>
        <w:rPr>
          <w:bCs/>
        </w:rPr>
        <w:t>屋檐装饰瓦脱落事件</w:t>
      </w:r>
      <w:r>
        <w:t>（以下简称</w:t>
      </w:r>
      <w:r>
        <w:t>“2·23”</w:t>
      </w:r>
      <w:r>
        <w:t>事件）整改措施落实情况开展评估。现将有关情况报告如下：</w:t>
      </w:r>
    </w:p>
    <w:p w:rsidR="00D93042" w:rsidRDefault="00D678F4">
      <w:pPr>
        <w:spacing w:line="560" w:lineRule="exact"/>
        <w:ind w:firstLineChars="200" w:firstLine="640"/>
        <w:jc w:val="left"/>
        <w:rPr>
          <w:rFonts w:ascii="黑体" w:eastAsia="黑体" w:hAnsi="黑体"/>
        </w:rPr>
      </w:pPr>
      <w:r>
        <w:rPr>
          <w:rFonts w:ascii="黑体" w:eastAsia="黑体" w:hAnsi="黑体" w:hint="eastAsia"/>
        </w:rPr>
        <w:t>一、评估工作基本情况</w:t>
      </w:r>
    </w:p>
    <w:p w:rsidR="00D93042" w:rsidRDefault="00D678F4">
      <w:pPr>
        <w:spacing w:line="560" w:lineRule="exact"/>
        <w:ind w:firstLineChars="200" w:firstLine="640"/>
      </w:pPr>
      <w:r>
        <w:t>根据评估工作方案安排，评估组采用现场核查、资料审核的方式，分为企业自查和评估组核查两个阶段对</w:t>
      </w:r>
      <w:r>
        <w:t>“2·23”</w:t>
      </w:r>
      <w:r>
        <w:t>事件相关部门和单位的责任追究和整改措施落实情况进行了评估。</w:t>
      </w:r>
    </w:p>
    <w:p w:rsidR="00D93042" w:rsidRDefault="00D678F4">
      <w:pPr>
        <w:spacing w:line="560" w:lineRule="exact"/>
        <w:ind w:firstLineChars="200" w:firstLine="640"/>
        <w:rPr>
          <w:rFonts w:ascii="黑体" w:eastAsia="黑体" w:hAnsi="黑体"/>
        </w:rPr>
      </w:pPr>
      <w:r>
        <w:rPr>
          <w:rFonts w:ascii="黑体" w:eastAsia="黑体" w:hAnsi="黑体" w:hint="eastAsia"/>
        </w:rPr>
        <w:lastRenderedPageBreak/>
        <w:t>二、脱落屋檐整改情况</w:t>
      </w:r>
    </w:p>
    <w:p w:rsidR="00D93042" w:rsidRDefault="00D678F4">
      <w:pPr>
        <w:spacing w:line="560" w:lineRule="exact"/>
        <w:ind w:firstLineChars="200" w:firstLine="640"/>
        <w:rPr>
          <w:color w:val="000000" w:themeColor="text1"/>
        </w:rPr>
      </w:pPr>
      <w:r>
        <w:rPr>
          <w:bCs/>
          <w:color w:val="000000" w:themeColor="text1"/>
        </w:rPr>
        <w:t>2022</w:t>
      </w:r>
      <w:r>
        <w:rPr>
          <w:bCs/>
          <w:color w:val="000000" w:themeColor="text1"/>
        </w:rPr>
        <w:t>年</w:t>
      </w:r>
      <w:r>
        <w:rPr>
          <w:bCs/>
          <w:color w:val="000000" w:themeColor="text1"/>
        </w:rPr>
        <w:t>5</w:t>
      </w:r>
      <w:r>
        <w:rPr>
          <w:bCs/>
          <w:color w:val="000000" w:themeColor="text1"/>
        </w:rPr>
        <w:t>月</w:t>
      </w:r>
      <w:r>
        <w:rPr>
          <w:bCs/>
          <w:color w:val="000000" w:themeColor="text1"/>
        </w:rPr>
        <w:t>19</w:t>
      </w:r>
      <w:r>
        <w:rPr>
          <w:bCs/>
          <w:color w:val="000000" w:themeColor="text1"/>
        </w:rPr>
        <w:t>日现场核查评估时，中华世纪城二期</w:t>
      </w:r>
      <w:r>
        <w:rPr>
          <w:bCs/>
          <w:color w:val="000000" w:themeColor="text1"/>
        </w:rPr>
        <w:t>7#</w:t>
      </w:r>
      <w:r>
        <w:rPr>
          <w:bCs/>
          <w:color w:val="000000" w:themeColor="text1"/>
        </w:rPr>
        <w:t>商业裙楼</w:t>
      </w:r>
      <w:r>
        <w:rPr>
          <w:bCs/>
          <w:color w:val="000000" w:themeColor="text1"/>
        </w:rPr>
        <w:t>“</w:t>
      </w:r>
      <w:r>
        <w:t>2·23</w:t>
      </w:r>
      <w:r>
        <w:rPr>
          <w:bCs/>
          <w:color w:val="000000" w:themeColor="text1"/>
        </w:rPr>
        <w:t>”</w:t>
      </w:r>
      <w:r>
        <w:rPr>
          <w:bCs/>
          <w:color w:val="000000" w:themeColor="text1"/>
        </w:rPr>
        <w:t>事件脱落的屋檐已经修复完成，屋檐外侧</w:t>
      </w:r>
      <w:r>
        <w:rPr>
          <w:color w:val="000000" w:themeColor="text1"/>
        </w:rPr>
        <w:t>无附着物。</w:t>
      </w:r>
    </w:p>
    <w:p w:rsidR="00D93042" w:rsidRDefault="00D678F4">
      <w:pPr>
        <w:spacing w:line="560" w:lineRule="exact"/>
        <w:ind w:firstLineChars="200" w:firstLine="640"/>
        <w:rPr>
          <w:rFonts w:ascii="黑体" w:eastAsia="黑体" w:hAnsi="黑体"/>
          <w:color w:val="000000" w:themeColor="text1"/>
        </w:rPr>
      </w:pPr>
      <w:r>
        <w:rPr>
          <w:rFonts w:ascii="黑体" w:eastAsia="黑体" w:hAnsi="黑体" w:hint="eastAsia"/>
          <w:color w:val="000000" w:themeColor="text1"/>
        </w:rPr>
        <w:t>三、整改措施落实情况</w:t>
      </w:r>
    </w:p>
    <w:p w:rsidR="00D93042" w:rsidRDefault="00975640">
      <w:pPr>
        <w:spacing w:line="560" w:lineRule="exact"/>
        <w:rPr>
          <w:color w:val="000000" w:themeColor="text1"/>
        </w:rPr>
      </w:pPr>
      <w:r>
        <w:rPr>
          <w:rFonts w:hint="eastAsia"/>
          <w:color w:val="000000" w:themeColor="text1"/>
        </w:rPr>
        <w:t xml:space="preserve">   </w:t>
      </w:r>
      <w:r w:rsidR="00D678F4">
        <w:rPr>
          <w:color w:val="000000" w:themeColor="text1"/>
        </w:rPr>
        <w:t>（一）西安侨盛房地产开发有限公司为中华世纪城裙楼产权单位，西安万股物业服务有限公司为侨盛地产下属公司，主要负责小区物业管理，事故发生后，产权单位聘请北京龙源科建建筑设计有限公司对脱落屋檐进行重新设计，由陕西易可道建设工程有限公司负责施工，</w:t>
      </w:r>
      <w:r w:rsidR="00D678F4">
        <w:rPr>
          <w:bCs/>
          <w:color w:val="000000" w:themeColor="text1"/>
        </w:rPr>
        <w:t>2021</w:t>
      </w:r>
      <w:r w:rsidR="00D678F4">
        <w:rPr>
          <w:bCs/>
          <w:color w:val="000000" w:themeColor="text1"/>
        </w:rPr>
        <w:t>年</w:t>
      </w:r>
      <w:r w:rsidR="00D678F4">
        <w:rPr>
          <w:bCs/>
          <w:color w:val="000000" w:themeColor="text1"/>
        </w:rPr>
        <w:t>8</w:t>
      </w:r>
      <w:r w:rsidR="00D678F4">
        <w:rPr>
          <w:bCs/>
          <w:color w:val="000000" w:themeColor="text1"/>
        </w:rPr>
        <w:t>月</w:t>
      </w:r>
      <w:r w:rsidR="00D678F4">
        <w:rPr>
          <w:bCs/>
          <w:color w:val="000000" w:themeColor="text1"/>
        </w:rPr>
        <w:t>25</w:t>
      </w:r>
      <w:r w:rsidR="00D678F4">
        <w:rPr>
          <w:bCs/>
          <w:color w:val="000000" w:themeColor="text1"/>
        </w:rPr>
        <w:t>日竣工。</w:t>
      </w:r>
      <w:r w:rsidR="00D678F4">
        <w:rPr>
          <w:color w:val="000000" w:themeColor="text1"/>
        </w:rPr>
        <w:t>此事件发生后，侨盛地产和万股物业对其安全管理工作进行了完善，制定隐患排查治理制度，开展员工教育培训考核，建立安全设施维护记录台账，与承租单位签订安全管理协议。</w:t>
      </w:r>
    </w:p>
    <w:p w:rsidR="00D93042" w:rsidRDefault="00975640">
      <w:pPr>
        <w:spacing w:line="560" w:lineRule="exact"/>
        <w:rPr>
          <w:color w:val="000000" w:themeColor="text1"/>
        </w:rPr>
      </w:pPr>
      <w:r>
        <w:rPr>
          <w:rFonts w:hint="eastAsia"/>
          <w:color w:val="000000" w:themeColor="text1"/>
        </w:rPr>
        <w:t xml:space="preserve">   </w:t>
      </w:r>
      <w:r w:rsidR="00D678F4">
        <w:rPr>
          <w:color w:val="000000" w:themeColor="text1"/>
        </w:rPr>
        <w:t>（二）潮汕</w:t>
      </w:r>
      <w:r w:rsidR="00D678F4">
        <w:rPr>
          <w:rFonts w:hint="eastAsia"/>
          <w:color w:val="000000" w:themeColor="text1"/>
        </w:rPr>
        <w:t>牛肉</w:t>
      </w:r>
      <w:r w:rsidR="00D678F4">
        <w:rPr>
          <w:color w:val="000000" w:themeColor="text1"/>
        </w:rPr>
        <w:t>火锅店，完善员工教育培训制度，开展教育培训；制定突发事件应急预案，开展演练，不断提升员工的安全意识。现场核查时，再次警示其不得出店经营，遇到突发事件采取合理应急措施，服从物业管理企业安排，杜绝事故发生。</w:t>
      </w:r>
    </w:p>
    <w:p w:rsidR="00D93042" w:rsidRDefault="00975640">
      <w:pPr>
        <w:spacing w:line="560" w:lineRule="exact"/>
        <w:jc w:val="left"/>
        <w:rPr>
          <w:color w:val="000000" w:themeColor="text1"/>
        </w:rPr>
      </w:pPr>
      <w:r>
        <w:rPr>
          <w:rFonts w:hint="eastAsia"/>
          <w:color w:val="000000" w:themeColor="text1"/>
        </w:rPr>
        <w:t xml:space="preserve">   </w:t>
      </w:r>
      <w:r w:rsidR="00D678F4">
        <w:rPr>
          <w:color w:val="000000" w:themeColor="text1"/>
        </w:rPr>
        <w:t>（三）小骆驼</w:t>
      </w:r>
      <w:r w:rsidR="00D678F4">
        <w:rPr>
          <w:rFonts w:hint="eastAsia"/>
          <w:color w:val="000000" w:themeColor="text1"/>
        </w:rPr>
        <w:t>烤肉</w:t>
      </w:r>
      <w:r w:rsidR="00D678F4">
        <w:rPr>
          <w:color w:val="000000" w:themeColor="text1"/>
        </w:rPr>
        <w:t>店，完善员工教育培训制度，开展员工教育培训，制定突发事件应急预案。</w:t>
      </w:r>
    </w:p>
    <w:p w:rsidR="00D93042" w:rsidRDefault="00D678F4">
      <w:pPr>
        <w:spacing w:line="560" w:lineRule="exact"/>
        <w:ind w:firstLineChars="150" w:firstLine="480"/>
      </w:pPr>
      <w:r>
        <w:t>（四）政府相关部门整改措施落实情况</w:t>
      </w:r>
    </w:p>
    <w:p w:rsidR="00D93042" w:rsidRDefault="00D678F4">
      <w:pPr>
        <w:spacing w:line="560" w:lineRule="exact"/>
        <w:ind w:firstLineChars="200" w:firstLine="640"/>
        <w:rPr>
          <w:rFonts w:ascii="仿宋_GB2312" w:hAnsi="仿宋_GB2312" w:cs="仿宋_GB2312"/>
        </w:rPr>
      </w:pPr>
      <w:r>
        <w:t>1</w:t>
      </w:r>
      <w:r>
        <w:t>、雁塔区住建局，在事故发生后，作为装饰装修行业和物</w:t>
      </w:r>
      <w:r>
        <w:rPr>
          <w:rFonts w:ascii="仿宋_GB2312" w:hAnsi="仿宋_GB2312" w:cs="仿宋_GB2312" w:hint="eastAsia"/>
        </w:rPr>
        <w:t>业公司的主管部门介入调查，要求生产经营单位落实安全管理主体责任，物业管理企业对小区集中开展电梯和房屋安全大检查，</w:t>
      </w:r>
      <w:r>
        <w:rPr>
          <w:rFonts w:ascii="仿宋_GB2312" w:hAnsi="仿宋_GB2312" w:cs="仿宋_GB2312" w:hint="eastAsia"/>
        </w:rPr>
        <w:lastRenderedPageBreak/>
        <w:t>明确检查内容。向街办下发外墙饰面砖排查治理文件并建立《雁塔区国有土地（三层以上）涉及外墙饰面砖信息采集表》等台账。</w:t>
      </w:r>
    </w:p>
    <w:p w:rsidR="00D93042" w:rsidRDefault="00D678F4">
      <w:pPr>
        <w:spacing w:line="560" w:lineRule="exact"/>
        <w:ind w:firstLineChars="200" w:firstLine="640"/>
        <w:rPr>
          <w:rFonts w:ascii="仿宋_GB2312" w:hAnsi="仿宋_GB2312" w:cs="仿宋_GB2312"/>
          <w:color w:val="000000" w:themeColor="text1"/>
        </w:rPr>
      </w:pPr>
      <w:r>
        <w:rPr>
          <w:color w:val="000000" w:themeColor="text1"/>
        </w:rPr>
        <w:t>2</w:t>
      </w:r>
      <w:r>
        <w:rPr>
          <w:color w:val="000000" w:themeColor="text1"/>
        </w:rPr>
        <w:t>、</w:t>
      </w:r>
      <w:r>
        <w:rPr>
          <w:rFonts w:ascii="仿宋_GB2312" w:hAnsi="仿宋_GB2312" w:cs="仿宋_GB2312" w:hint="eastAsia"/>
          <w:color w:val="000000" w:themeColor="text1"/>
        </w:rPr>
        <w:t>雁塔区城市管理局，对潮汕牛肉火锅店违法行为下达《责令停止（改正）违法行为通知书》，对店主进行了约谈。吸取教训，举一反三，对全区门店占道经营、非机动车乱停等违法行为进行集中整治，城警联动，建立“城管＋公安”、“城管＋交警”联动机制，创新城市管理新方式，形成城市管理新格局。</w:t>
      </w:r>
    </w:p>
    <w:p w:rsidR="00D93042" w:rsidRDefault="00D678F4">
      <w:pPr>
        <w:spacing w:line="560" w:lineRule="exact"/>
        <w:ind w:firstLineChars="200" w:firstLine="640"/>
        <w:rPr>
          <w:rFonts w:ascii="仿宋_GB2312" w:hAnsi="仿宋_GB2312" w:cs="仿宋_GB2312"/>
        </w:rPr>
      </w:pPr>
      <w:r>
        <w:t>3</w:t>
      </w:r>
      <w:r>
        <w:t>、</w:t>
      </w:r>
      <w:r>
        <w:rPr>
          <w:rFonts w:ascii="仿宋_GB2312" w:hAnsi="仿宋_GB2312" w:cs="仿宋_GB2312" w:hint="eastAsia"/>
        </w:rPr>
        <w:t>漳浒寨街道办，履行属地监管责任，事件发生后积极开展调查工作，并吸取教训，督促责任单位做好善后和整改工作，日常检查巡查力度加大，督促企业自觉做好安全生产管理工作。</w:t>
      </w:r>
    </w:p>
    <w:p w:rsidR="00D93042" w:rsidRDefault="00D678F4">
      <w:pPr>
        <w:spacing w:line="560" w:lineRule="exact"/>
        <w:ind w:firstLineChars="200" w:firstLine="640"/>
        <w:jc w:val="left"/>
        <w:rPr>
          <w:rFonts w:ascii="黑体" w:eastAsia="黑体" w:hAnsi="黑体"/>
        </w:rPr>
      </w:pPr>
      <w:r>
        <w:rPr>
          <w:rFonts w:ascii="黑体" w:eastAsia="黑体" w:hAnsi="黑体" w:hint="eastAsia"/>
        </w:rPr>
        <w:t>四、评估结论</w:t>
      </w:r>
    </w:p>
    <w:p w:rsidR="00D93042" w:rsidRPr="001B7E7F" w:rsidRDefault="00975640" w:rsidP="001B7E7F">
      <w:pPr>
        <w:spacing w:line="560" w:lineRule="exact"/>
        <w:jc w:val="left"/>
        <w:rPr>
          <w:rFonts w:ascii="仿宋_GB2312"/>
        </w:rPr>
      </w:pPr>
      <w:r>
        <w:rPr>
          <w:rFonts w:ascii="仿宋_GB2312" w:hAnsi="仿宋_GB2312" w:cs="仿宋_GB2312" w:hint="eastAsia"/>
          <w:color w:val="000000" w:themeColor="text1"/>
        </w:rPr>
        <w:t xml:space="preserve">    </w:t>
      </w:r>
      <w:r w:rsidR="00D678F4">
        <w:rPr>
          <w:rFonts w:ascii="仿宋_GB2312" w:hAnsi="仿宋_GB2312" w:cs="仿宋_GB2312" w:hint="eastAsia"/>
          <w:color w:val="000000" w:themeColor="text1"/>
        </w:rPr>
        <w:t>综上，西安侨盛房地产开发有限公司、西安万股物业服务有限公司、潮汕牛肉火锅店、小骆驼烤肉店已按照防范措施建议完善安全管理工作。</w:t>
      </w:r>
    </w:p>
    <w:sectPr w:rsidR="00D93042" w:rsidRPr="001B7E7F" w:rsidSect="00AF5FDD">
      <w:headerReference w:type="default" r:id="rId7"/>
      <w:footerReference w:type="even" r:id="rId8"/>
      <w:footerReference w:type="default" r:id="rId9"/>
      <w:footnotePr>
        <w:numFmt w:val="decimalEnclosedCircleChinese"/>
        <w:numRestart w:val="eachPage"/>
      </w:footnotePr>
      <w:pgSz w:w="11907" w:h="16840"/>
      <w:pgMar w:top="2155" w:right="1474" w:bottom="2041" w:left="1588" w:header="851" w:footer="1304" w:gutter="0"/>
      <w:cols w:space="425"/>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03C" w:rsidRDefault="0087303C" w:rsidP="00D93042">
      <w:r>
        <w:separator/>
      </w:r>
    </w:p>
  </w:endnote>
  <w:endnote w:type="continuationSeparator" w:id="1">
    <w:p w:rsidR="0087303C" w:rsidRDefault="0087303C" w:rsidP="00D930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42" w:rsidRDefault="00D678F4">
    <w:pPr>
      <w:pStyle w:val="a4"/>
    </w:pPr>
    <w:r>
      <w:rPr>
        <w:rFonts w:hint="eastAsia"/>
      </w:rPr>
      <w:t>—</w:t>
    </w:r>
    <w:sdt>
      <w:sdtPr>
        <w:id w:val="30784233"/>
      </w:sdtPr>
      <w:sdtContent>
        <w:r w:rsidR="002E293B">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2E293B">
          <w:rPr>
            <w:rFonts w:asciiTheme="minorEastAsia" w:eastAsiaTheme="minorEastAsia" w:hAnsiTheme="minorEastAsia"/>
            <w:sz w:val="28"/>
            <w:szCs w:val="28"/>
          </w:rPr>
          <w:fldChar w:fldCharType="separate"/>
        </w:r>
        <w:r w:rsidR="001B7E7F" w:rsidRPr="001B7E7F">
          <w:rPr>
            <w:rFonts w:asciiTheme="minorEastAsia" w:eastAsiaTheme="minorEastAsia" w:hAnsiTheme="minorEastAsia"/>
            <w:noProof/>
            <w:sz w:val="28"/>
            <w:szCs w:val="28"/>
            <w:lang w:val="zh-CN"/>
          </w:rPr>
          <w:t>2</w:t>
        </w:r>
        <w:r w:rsidR="002E293B">
          <w:rPr>
            <w:rFonts w:asciiTheme="minorEastAsia" w:eastAsiaTheme="minorEastAsia" w:hAnsiTheme="minorEastAsia"/>
            <w:sz w:val="28"/>
            <w:szCs w:val="28"/>
          </w:rPr>
          <w:fldChar w:fldCharType="end"/>
        </w:r>
        <w:r>
          <w:rPr>
            <w:rFonts w:hint="eastAsia"/>
          </w:rPr>
          <w:t>—</w:t>
        </w:r>
      </w:sdtContent>
    </w:sdt>
  </w:p>
  <w:p w:rsidR="00D93042" w:rsidRDefault="00D93042">
    <w:pPr>
      <w:pStyle w:val="a4"/>
      <w:ind w:firstLineChars="114" w:firstLine="319"/>
      <w:rPr>
        <w:rFonts w:ascii="宋体" w:eastAsia="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84232"/>
    </w:sdtPr>
    <w:sdtContent>
      <w:p w:rsidR="00D93042" w:rsidRDefault="00D678F4">
        <w:pPr>
          <w:pStyle w:val="a4"/>
          <w:jc w:val="right"/>
        </w:pPr>
        <w:r>
          <w:rPr>
            <w:rFonts w:hint="eastAsia"/>
          </w:rPr>
          <w:t>—</w:t>
        </w:r>
        <w:r w:rsidR="002E293B">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2E293B">
          <w:rPr>
            <w:rFonts w:asciiTheme="minorEastAsia" w:eastAsiaTheme="minorEastAsia" w:hAnsiTheme="minorEastAsia"/>
            <w:sz w:val="28"/>
            <w:szCs w:val="28"/>
          </w:rPr>
          <w:fldChar w:fldCharType="separate"/>
        </w:r>
        <w:r w:rsidR="001B7E7F" w:rsidRPr="001B7E7F">
          <w:rPr>
            <w:rFonts w:asciiTheme="minorEastAsia" w:eastAsiaTheme="minorEastAsia" w:hAnsiTheme="minorEastAsia"/>
            <w:noProof/>
            <w:sz w:val="28"/>
            <w:szCs w:val="28"/>
            <w:lang w:val="zh-CN"/>
          </w:rPr>
          <w:t>1</w:t>
        </w:r>
        <w:r w:rsidR="002E293B">
          <w:rPr>
            <w:rFonts w:asciiTheme="minorEastAsia" w:eastAsiaTheme="minorEastAsia" w:hAnsiTheme="minorEastAsia"/>
            <w:sz w:val="28"/>
            <w:szCs w:val="28"/>
          </w:rPr>
          <w:fldChar w:fldCharType="end"/>
        </w:r>
        <w:r>
          <w:rPr>
            <w:rFonts w:hint="eastAsia"/>
          </w:rPr>
          <w:t>—</w:t>
        </w:r>
      </w:p>
    </w:sdtContent>
  </w:sdt>
  <w:p w:rsidR="00D93042" w:rsidRDefault="00D93042">
    <w:pPr>
      <w:pStyle w:val="a4"/>
      <w:ind w:right="360" w:firstLine="360"/>
      <w:jc w:val="center"/>
      <w:rPr>
        <w:rFonts w:ascii="宋体" w:eastAsia="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03C" w:rsidRDefault="0087303C" w:rsidP="00D93042">
      <w:r>
        <w:separator/>
      </w:r>
    </w:p>
  </w:footnote>
  <w:footnote w:type="continuationSeparator" w:id="1">
    <w:p w:rsidR="0087303C" w:rsidRDefault="0087303C" w:rsidP="00D930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42" w:rsidRDefault="00D9304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9458"/>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BB6"/>
    <w:rsid w:val="0003073A"/>
    <w:rsid w:val="00053284"/>
    <w:rsid w:val="000B2C67"/>
    <w:rsid w:val="001302D6"/>
    <w:rsid w:val="00163580"/>
    <w:rsid w:val="001A169D"/>
    <w:rsid w:val="001B7E7F"/>
    <w:rsid w:val="001E4720"/>
    <w:rsid w:val="00264B8F"/>
    <w:rsid w:val="002B1A56"/>
    <w:rsid w:val="002B1D6F"/>
    <w:rsid w:val="002E293B"/>
    <w:rsid w:val="002F1A89"/>
    <w:rsid w:val="00372684"/>
    <w:rsid w:val="003870B6"/>
    <w:rsid w:val="0039073F"/>
    <w:rsid w:val="003B0FDF"/>
    <w:rsid w:val="00401CB7"/>
    <w:rsid w:val="00422C92"/>
    <w:rsid w:val="004D5145"/>
    <w:rsid w:val="004D5E0E"/>
    <w:rsid w:val="00544A48"/>
    <w:rsid w:val="00564E9F"/>
    <w:rsid w:val="005B74CC"/>
    <w:rsid w:val="00655048"/>
    <w:rsid w:val="00671DF8"/>
    <w:rsid w:val="00677272"/>
    <w:rsid w:val="00693F94"/>
    <w:rsid w:val="007337FF"/>
    <w:rsid w:val="00740D13"/>
    <w:rsid w:val="007F45AA"/>
    <w:rsid w:val="0083077B"/>
    <w:rsid w:val="0087303C"/>
    <w:rsid w:val="00896CFE"/>
    <w:rsid w:val="008B5807"/>
    <w:rsid w:val="008F4836"/>
    <w:rsid w:val="00924D37"/>
    <w:rsid w:val="0094660B"/>
    <w:rsid w:val="00975640"/>
    <w:rsid w:val="00986BB6"/>
    <w:rsid w:val="00992F35"/>
    <w:rsid w:val="009A6F92"/>
    <w:rsid w:val="009D3CDA"/>
    <w:rsid w:val="00A16D70"/>
    <w:rsid w:val="00A23D09"/>
    <w:rsid w:val="00AA7B43"/>
    <w:rsid w:val="00AC309E"/>
    <w:rsid w:val="00AC3262"/>
    <w:rsid w:val="00AF50DE"/>
    <w:rsid w:val="00AF5FDD"/>
    <w:rsid w:val="00B90331"/>
    <w:rsid w:val="00BF50BA"/>
    <w:rsid w:val="00C33601"/>
    <w:rsid w:val="00C760A8"/>
    <w:rsid w:val="00C934F0"/>
    <w:rsid w:val="00C96C54"/>
    <w:rsid w:val="00CA6294"/>
    <w:rsid w:val="00CB29AF"/>
    <w:rsid w:val="00CC0F3F"/>
    <w:rsid w:val="00D525B9"/>
    <w:rsid w:val="00D678F4"/>
    <w:rsid w:val="00D879C0"/>
    <w:rsid w:val="00D93042"/>
    <w:rsid w:val="00DA35FB"/>
    <w:rsid w:val="00DD3A87"/>
    <w:rsid w:val="00E1029C"/>
    <w:rsid w:val="00E55AEF"/>
    <w:rsid w:val="00E70825"/>
    <w:rsid w:val="00F033BF"/>
    <w:rsid w:val="00F949A3"/>
    <w:rsid w:val="00FB2370"/>
    <w:rsid w:val="00FC0F5E"/>
    <w:rsid w:val="02802FD5"/>
    <w:rsid w:val="08333EC4"/>
    <w:rsid w:val="0A4455C1"/>
    <w:rsid w:val="0AA3263E"/>
    <w:rsid w:val="145C5A05"/>
    <w:rsid w:val="18D51098"/>
    <w:rsid w:val="24AB41A4"/>
    <w:rsid w:val="2BC76AFF"/>
    <w:rsid w:val="2C8D0B51"/>
    <w:rsid w:val="2FAB3DDC"/>
    <w:rsid w:val="3FAC555F"/>
    <w:rsid w:val="43A369F8"/>
    <w:rsid w:val="498275AF"/>
    <w:rsid w:val="4A0B51AB"/>
    <w:rsid w:val="4F8E4389"/>
    <w:rsid w:val="529B19F2"/>
    <w:rsid w:val="53AD4B98"/>
    <w:rsid w:val="57180C9E"/>
    <w:rsid w:val="66135157"/>
    <w:rsid w:val="77037A88"/>
    <w:rsid w:val="77C15856"/>
    <w:rsid w:val="782B6D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042"/>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93042"/>
    <w:rPr>
      <w:sz w:val="18"/>
      <w:szCs w:val="18"/>
    </w:rPr>
  </w:style>
  <w:style w:type="paragraph" w:styleId="a4">
    <w:name w:val="footer"/>
    <w:basedOn w:val="a"/>
    <w:link w:val="Char0"/>
    <w:uiPriority w:val="99"/>
    <w:qFormat/>
    <w:rsid w:val="00D93042"/>
    <w:pPr>
      <w:tabs>
        <w:tab w:val="center" w:pos="4153"/>
        <w:tab w:val="right" w:pos="8306"/>
      </w:tabs>
      <w:snapToGrid w:val="0"/>
      <w:jc w:val="left"/>
    </w:pPr>
    <w:rPr>
      <w:kern w:val="0"/>
      <w:sz w:val="18"/>
      <w:szCs w:val="18"/>
    </w:rPr>
  </w:style>
  <w:style w:type="paragraph" w:styleId="a5">
    <w:name w:val="header"/>
    <w:basedOn w:val="a"/>
    <w:link w:val="Char1"/>
    <w:uiPriority w:val="99"/>
    <w:qFormat/>
    <w:rsid w:val="00D93042"/>
    <w:pPr>
      <w:pBdr>
        <w:bottom w:val="single" w:sz="6" w:space="1" w:color="auto"/>
      </w:pBdr>
      <w:tabs>
        <w:tab w:val="center" w:pos="4153"/>
        <w:tab w:val="right" w:pos="8306"/>
      </w:tabs>
      <w:snapToGrid w:val="0"/>
      <w:jc w:val="center"/>
    </w:pPr>
    <w:rPr>
      <w:kern w:val="0"/>
      <w:sz w:val="18"/>
      <w:szCs w:val="18"/>
    </w:rPr>
  </w:style>
  <w:style w:type="character" w:styleId="a6">
    <w:name w:val="page number"/>
    <w:basedOn w:val="a0"/>
    <w:qFormat/>
    <w:rsid w:val="00D93042"/>
  </w:style>
  <w:style w:type="character" w:customStyle="1" w:styleId="Char0">
    <w:name w:val="页脚 Char"/>
    <w:basedOn w:val="a0"/>
    <w:link w:val="a4"/>
    <w:uiPriority w:val="99"/>
    <w:qFormat/>
    <w:rsid w:val="00D93042"/>
    <w:rPr>
      <w:rFonts w:ascii="Times New Roman" w:eastAsia="仿宋_GB2312" w:hAnsi="Times New Roman" w:cs="Times New Roman"/>
      <w:kern w:val="0"/>
      <w:sz w:val="18"/>
      <w:szCs w:val="18"/>
    </w:rPr>
  </w:style>
  <w:style w:type="character" w:customStyle="1" w:styleId="Char1">
    <w:name w:val="页眉 Char"/>
    <w:basedOn w:val="a0"/>
    <w:link w:val="a5"/>
    <w:uiPriority w:val="99"/>
    <w:rsid w:val="00D93042"/>
    <w:rPr>
      <w:rFonts w:ascii="Times New Roman" w:eastAsia="仿宋_GB2312" w:hAnsi="Times New Roman" w:cs="Times New Roman"/>
      <w:kern w:val="0"/>
      <w:sz w:val="18"/>
      <w:szCs w:val="18"/>
    </w:rPr>
  </w:style>
  <w:style w:type="character" w:customStyle="1" w:styleId="Char">
    <w:name w:val="批注框文本 Char"/>
    <w:basedOn w:val="a0"/>
    <w:link w:val="a3"/>
    <w:uiPriority w:val="99"/>
    <w:semiHidden/>
    <w:rsid w:val="00D93042"/>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215</Words>
  <Characters>1232</Characters>
  <Application>Microsoft Office Word</Application>
  <DocSecurity>0</DocSecurity>
  <Lines>10</Lines>
  <Paragraphs>2</Paragraphs>
  <ScaleCrop>false</ScaleCrop>
  <Company>微软用户</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区应急管理局</dc:creator>
  <cp:lastModifiedBy>苏铭</cp:lastModifiedBy>
  <cp:revision>30</cp:revision>
  <cp:lastPrinted>2022-05-31T06:38:00Z</cp:lastPrinted>
  <dcterms:created xsi:type="dcterms:W3CDTF">2021-01-12T08:37:00Z</dcterms:created>
  <dcterms:modified xsi:type="dcterms:W3CDTF">2023-03-27T08:01:00Z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