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32"/>
          <w:szCs w:val="32"/>
        </w:rPr>
        <w:t>附件：</w:t>
      </w:r>
    </w:p>
    <w:p>
      <w:pPr>
        <w:spacing w:line="360" w:lineRule="auto"/>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西安市雁塔区集中供热事故应急预案</w:t>
      </w:r>
    </w:p>
    <w:p>
      <w:pPr>
        <w:pStyle w:val="18"/>
      </w:pPr>
      <w:r>
        <w:rPr>
          <w:rFonts w:hint="eastAsia" w:ascii="方正小标宋简体" w:hAnsi="方正小标宋简体" w:cs="方正小标宋简体"/>
          <w:b w:val="0"/>
          <w:bCs/>
          <w:szCs w:val="52"/>
        </w:rPr>
        <w:t>（征求意见稿）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spacing w:line="360" w:lineRule="auto"/>
        <w:jc w:val="center"/>
        <w:rPr>
          <w:rFonts w:ascii="楷体" w:hAnsi="楷体" w:eastAsia="楷体" w:cs="黑体"/>
          <w:sz w:val="36"/>
          <w:szCs w:val="36"/>
        </w:rPr>
      </w:pPr>
      <w:r>
        <w:rPr>
          <w:rFonts w:hint="eastAsia" w:ascii="楷体" w:hAnsi="楷体" w:eastAsia="楷体" w:cs="黑体"/>
          <w:sz w:val="36"/>
          <w:szCs w:val="36"/>
        </w:rPr>
        <w:t>西安市雁塔区城市管理和综合执法局</w:t>
      </w:r>
    </w:p>
    <w:p>
      <w:pPr>
        <w:spacing w:line="360" w:lineRule="auto"/>
        <w:jc w:val="center"/>
        <w:rPr>
          <w:b/>
          <w:sz w:val="44"/>
          <w:szCs w:val="44"/>
        </w:rPr>
      </w:pPr>
      <w:r>
        <w:rPr>
          <w:rFonts w:hint="eastAsia" w:ascii="楷体" w:hAnsi="楷体" w:eastAsia="楷体" w:cs="黑体"/>
          <w:sz w:val="36"/>
          <w:szCs w:val="36"/>
        </w:rPr>
        <w:t>二零二二年十月</w:t>
      </w:r>
      <w:bookmarkStart w:id="0" w:name="_Toc3632"/>
      <w:bookmarkStart w:id="1" w:name="_Toc7027"/>
      <w:bookmarkStart w:id="2" w:name="_Toc2525"/>
      <w:bookmarkStart w:id="3" w:name="_Toc13639"/>
      <w:bookmarkStart w:id="4" w:name="_Toc27791"/>
      <w:bookmarkStart w:id="5" w:name="_Toc22874"/>
    </w:p>
    <w:p>
      <w:pPr>
        <w:pStyle w:val="13"/>
        <w:ind w:firstLine="640"/>
        <w:sectPr>
          <w:footerReference r:id="rId3" w:type="default"/>
          <w:pgSz w:w="11906" w:h="16838"/>
          <w:pgMar w:top="2098" w:right="1474" w:bottom="1985" w:left="1588" w:header="851" w:footer="1418" w:gutter="0"/>
          <w:cols w:space="720" w:num="1"/>
          <w:docGrid w:linePitch="289" w:charSpace="-1844"/>
        </w:sectPr>
      </w:pPr>
    </w:p>
    <w:bookmarkEnd w:id="0"/>
    <w:bookmarkEnd w:id="1"/>
    <w:bookmarkEnd w:id="2"/>
    <w:bookmarkEnd w:id="3"/>
    <w:bookmarkEnd w:id="4"/>
    <w:bookmarkEnd w:id="5"/>
    <w:sdt>
      <w:sdtPr>
        <w:rPr>
          <w:rFonts w:ascii="宋体" w:hAnsi="宋体" w:eastAsia="方正小标宋简体" w:cs="仿宋"/>
          <w:b/>
          <w:bCs/>
          <w:sz w:val="36"/>
          <w:szCs w:val="32"/>
        </w:rPr>
        <w:id w:val="147477381"/>
        <w:docPartObj>
          <w:docPartGallery w:val="Table of Contents"/>
          <w:docPartUnique/>
        </w:docPartObj>
      </w:sdtPr>
      <w:sdtEndPr>
        <w:rPr>
          <w:rFonts w:ascii="Times New Roman" w:hAnsi="Times New Roman" w:eastAsia="仿宋_GB2312" w:cs="仿宋"/>
          <w:b/>
          <w:bCs/>
          <w:sz w:val="32"/>
          <w:szCs w:val="32"/>
        </w:rPr>
      </w:sdtEndPr>
      <w:sdtContent>
        <w:p>
          <w:pPr>
            <w:jc w:val="center"/>
            <w:rPr>
              <w:rFonts w:ascii="仿宋" w:hAnsi="仿宋" w:eastAsia="仿宋" w:cs="仿宋"/>
              <w:b/>
              <w:bCs/>
              <w:sz w:val="32"/>
              <w:szCs w:val="32"/>
            </w:rPr>
          </w:pPr>
          <w:r>
            <w:rPr>
              <w:rFonts w:hint="eastAsia" w:ascii="黑体" w:hAnsi="黑体" w:eastAsia="黑体" w:cs="仿宋"/>
              <w:b/>
              <w:bCs/>
              <w:sz w:val="32"/>
              <w:szCs w:val="32"/>
            </w:rPr>
            <w:t>目 录</w:t>
          </w:r>
        </w:p>
        <w:p>
          <w:pPr>
            <w:pStyle w:val="4"/>
            <w:rPr>
              <w:rFonts w:ascii="仿宋" w:hAnsi="仿宋" w:eastAsia="仿宋" w:cs="仿宋"/>
            </w:rPr>
          </w:pPr>
        </w:p>
        <w:p>
          <w:pPr>
            <w:pStyle w:val="11"/>
            <w:tabs>
              <w:tab w:val="right" w:leader="dot" w:pos="8732"/>
            </w:tabs>
            <w:jc w:val="left"/>
            <w:rPr>
              <w:rFonts w:eastAsia="仿宋_GB2312"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"1-2" \h \u </w:instrText>
          </w:r>
          <w:r>
            <w:rPr>
              <w:rFonts w:hint="eastAsia" w:ascii="仿宋" w:hAnsi="仿宋" w:eastAsia="仿宋" w:cs="仿宋"/>
              <w:sz w:val="32"/>
              <w:szCs w:val="32"/>
            </w:rPr>
            <w:fldChar w:fldCharType="separate"/>
          </w:r>
          <w:r>
            <w:fldChar w:fldCharType="begin"/>
          </w:r>
          <w:r>
            <w:instrText xml:space="preserve"> HYPERLINK \l "_Toc26563" </w:instrText>
          </w:r>
          <w:r>
            <w:fldChar w:fldCharType="separate"/>
          </w:r>
          <w:r>
            <w:rPr>
              <w:rFonts w:ascii="黑体" w:hAnsi="黑体" w:eastAsia="黑体" w:cs="仿宋"/>
              <w:sz w:val="32"/>
              <w:szCs w:val="32"/>
            </w:rPr>
            <w:t xml:space="preserve">1 </w:t>
          </w:r>
          <w:r>
            <w:rPr>
              <w:rFonts w:hint="eastAsia" w:ascii="黑体" w:hAnsi="黑体" w:eastAsia="黑体" w:cs="仿宋"/>
              <w:sz w:val="32"/>
              <w:szCs w:val="32"/>
            </w:rPr>
            <w:t>总则</w:t>
          </w:r>
          <w:r>
            <w:rPr>
              <w:rFonts w:hint="eastAsia" w:eastAsia="仿宋_GB2312" w:cs="仿宋"/>
              <w:sz w:val="32"/>
              <w:szCs w:val="32"/>
            </w:rPr>
            <w:t>.........................................................................................5</w:t>
          </w:r>
          <w:r>
            <w:rPr>
              <w:rFonts w:hint="eastAsia" w:eastAsia="仿宋_GB2312" w:cs="仿宋"/>
              <w:sz w:val="32"/>
              <w:szCs w:val="32"/>
            </w:rPr>
            <w:fldChar w:fldCharType="end"/>
          </w:r>
        </w:p>
        <w:p>
          <w:pPr>
            <w:pStyle w:val="12"/>
            <w:tabs>
              <w:tab w:val="right" w:leader="dot" w:pos="8732"/>
            </w:tabs>
            <w:ind w:left="432"/>
            <w:jc w:val="left"/>
            <w:rPr>
              <w:rFonts w:eastAsia="仿宋_GB2312" w:cs="仿宋"/>
              <w:sz w:val="32"/>
              <w:szCs w:val="32"/>
            </w:rPr>
          </w:pPr>
          <w:r>
            <w:fldChar w:fldCharType="begin"/>
          </w:r>
          <w:r>
            <w:instrText xml:space="preserve"> HYPERLINK \l "_Toc17958" </w:instrText>
          </w:r>
          <w:r>
            <w:fldChar w:fldCharType="separate"/>
          </w:r>
          <w:r>
            <w:rPr>
              <w:rFonts w:eastAsia="仿宋_GB2312" w:cs="仿宋"/>
              <w:sz w:val="32"/>
              <w:szCs w:val="32"/>
            </w:rPr>
            <w:t xml:space="preserve">1.1 </w:t>
          </w:r>
          <w:r>
            <w:rPr>
              <w:rFonts w:hint="eastAsia" w:eastAsia="仿宋_GB2312" w:cs="仿宋"/>
              <w:sz w:val="32"/>
              <w:szCs w:val="32"/>
            </w:rPr>
            <w:t>编制目的.........................................................................5</w:t>
          </w:r>
          <w:r>
            <w:rPr>
              <w:rFonts w:hint="eastAsia" w:eastAsia="仿宋_GB2312" w:cs="仿宋"/>
              <w:sz w:val="32"/>
              <w:szCs w:val="32"/>
            </w:rPr>
            <w:fldChar w:fldCharType="end"/>
          </w:r>
        </w:p>
        <w:p>
          <w:pPr>
            <w:pStyle w:val="12"/>
            <w:tabs>
              <w:tab w:val="right" w:leader="dot" w:pos="8732"/>
            </w:tabs>
            <w:ind w:left="432"/>
            <w:jc w:val="left"/>
            <w:rPr>
              <w:rFonts w:eastAsia="仿宋_GB2312" w:cs="仿宋"/>
              <w:sz w:val="32"/>
              <w:szCs w:val="32"/>
            </w:rPr>
          </w:pPr>
          <w:r>
            <w:fldChar w:fldCharType="begin"/>
          </w:r>
          <w:r>
            <w:instrText xml:space="preserve"> HYPERLINK \l "_Toc31832" </w:instrText>
          </w:r>
          <w:r>
            <w:fldChar w:fldCharType="separate"/>
          </w:r>
          <w:r>
            <w:rPr>
              <w:rFonts w:eastAsia="仿宋_GB2312" w:cs="仿宋"/>
              <w:sz w:val="32"/>
              <w:szCs w:val="32"/>
            </w:rPr>
            <w:t xml:space="preserve">1.2 </w:t>
          </w:r>
          <w:r>
            <w:rPr>
              <w:rFonts w:hint="eastAsia" w:eastAsia="仿宋_GB2312" w:cs="仿宋"/>
              <w:sz w:val="32"/>
              <w:szCs w:val="32"/>
            </w:rPr>
            <w:t>编制依据.........................................................................5</w:t>
          </w:r>
          <w:r>
            <w:rPr>
              <w:rFonts w:hint="eastAsia" w:eastAsia="仿宋_GB2312" w:cs="仿宋"/>
              <w:sz w:val="32"/>
              <w:szCs w:val="32"/>
            </w:rPr>
            <w:fldChar w:fldCharType="end"/>
          </w:r>
        </w:p>
        <w:p>
          <w:pPr>
            <w:pStyle w:val="12"/>
            <w:tabs>
              <w:tab w:val="right" w:leader="dot" w:pos="8732"/>
            </w:tabs>
            <w:ind w:left="432"/>
            <w:jc w:val="left"/>
            <w:rPr>
              <w:rFonts w:eastAsia="仿宋_GB2312" w:cs="仿宋"/>
              <w:sz w:val="32"/>
              <w:szCs w:val="32"/>
            </w:rPr>
          </w:pPr>
          <w:r>
            <w:fldChar w:fldCharType="begin"/>
          </w:r>
          <w:r>
            <w:instrText xml:space="preserve"> HYPERLINK \l "_Toc28581" </w:instrText>
          </w:r>
          <w:r>
            <w:fldChar w:fldCharType="separate"/>
          </w:r>
          <w:r>
            <w:rPr>
              <w:rFonts w:eastAsia="仿宋_GB2312" w:cs="仿宋"/>
              <w:sz w:val="32"/>
              <w:szCs w:val="32"/>
            </w:rPr>
            <w:t xml:space="preserve">1.3 </w:t>
          </w:r>
          <w:r>
            <w:rPr>
              <w:rFonts w:hint="eastAsia" w:eastAsia="仿宋_GB2312" w:cs="仿宋"/>
              <w:sz w:val="32"/>
              <w:szCs w:val="32"/>
            </w:rPr>
            <w:t>适用范围.........................................................................5</w:t>
          </w:r>
          <w:r>
            <w:rPr>
              <w:rFonts w:hint="eastAsia" w:eastAsia="仿宋_GB2312" w:cs="仿宋"/>
              <w:sz w:val="32"/>
              <w:szCs w:val="32"/>
            </w:rPr>
            <w:fldChar w:fldCharType="end"/>
          </w:r>
        </w:p>
        <w:p>
          <w:pPr>
            <w:pStyle w:val="12"/>
            <w:tabs>
              <w:tab w:val="right" w:leader="dot" w:pos="8732"/>
            </w:tabs>
            <w:ind w:left="432"/>
            <w:jc w:val="left"/>
            <w:rPr>
              <w:rFonts w:eastAsia="仿宋_GB2312" w:cs="仿宋"/>
              <w:sz w:val="32"/>
              <w:szCs w:val="32"/>
            </w:rPr>
          </w:pPr>
          <w:r>
            <w:fldChar w:fldCharType="begin"/>
          </w:r>
          <w:r>
            <w:instrText xml:space="preserve"> HYPERLINK \l "_Toc30275" </w:instrText>
          </w:r>
          <w:r>
            <w:fldChar w:fldCharType="separate"/>
          </w:r>
          <w:r>
            <w:rPr>
              <w:rFonts w:eastAsia="仿宋_GB2312" w:cs="仿宋"/>
              <w:sz w:val="32"/>
              <w:szCs w:val="32"/>
            </w:rPr>
            <w:t xml:space="preserve">1.4 </w:t>
          </w:r>
          <w:r>
            <w:rPr>
              <w:rFonts w:hint="eastAsia" w:eastAsia="仿宋_GB2312" w:cs="仿宋"/>
              <w:sz w:val="32"/>
              <w:szCs w:val="32"/>
            </w:rPr>
            <w:t>工作原则.........................................................................6</w:t>
          </w:r>
          <w:r>
            <w:rPr>
              <w:rFonts w:hint="eastAsia" w:eastAsia="仿宋_GB2312" w:cs="仿宋"/>
              <w:sz w:val="32"/>
              <w:szCs w:val="32"/>
            </w:rPr>
            <w:fldChar w:fldCharType="end"/>
          </w:r>
        </w:p>
        <w:p>
          <w:pPr>
            <w:pStyle w:val="11"/>
            <w:tabs>
              <w:tab w:val="right" w:leader="dot" w:pos="8732"/>
            </w:tabs>
            <w:jc w:val="left"/>
            <w:rPr>
              <w:rFonts w:eastAsia="仿宋_GB2312" w:cs="仿宋"/>
              <w:sz w:val="32"/>
              <w:szCs w:val="32"/>
            </w:rPr>
          </w:pPr>
          <w:r>
            <w:fldChar w:fldCharType="begin"/>
          </w:r>
          <w:r>
            <w:instrText xml:space="preserve"> HYPERLINK \l "_Toc14953" </w:instrText>
          </w:r>
          <w:r>
            <w:fldChar w:fldCharType="separate"/>
          </w:r>
          <w:r>
            <w:rPr>
              <w:rFonts w:ascii="黑体" w:hAnsi="黑体" w:eastAsia="黑体" w:cs="仿宋"/>
              <w:sz w:val="32"/>
              <w:szCs w:val="32"/>
            </w:rPr>
            <w:t xml:space="preserve">2 </w:t>
          </w:r>
          <w:r>
            <w:rPr>
              <w:rFonts w:hint="eastAsia" w:ascii="黑体" w:hAnsi="黑体" w:eastAsia="黑体" w:cs="仿宋"/>
              <w:sz w:val="32"/>
              <w:szCs w:val="32"/>
            </w:rPr>
            <w:t>应急组织体系</w:t>
          </w:r>
          <w:r>
            <w:rPr>
              <w:rFonts w:hint="eastAsia" w:eastAsia="仿宋_GB2312" w:cs="仿宋"/>
              <w:sz w:val="32"/>
              <w:szCs w:val="32"/>
            </w:rPr>
            <w:t>.........................................................................6</w:t>
          </w:r>
          <w:r>
            <w:rPr>
              <w:rFonts w:hint="eastAsia" w:eastAsia="仿宋_GB2312" w:cs="仿宋"/>
              <w:sz w:val="32"/>
              <w:szCs w:val="32"/>
            </w:rPr>
            <w:fldChar w:fldCharType="end"/>
          </w:r>
        </w:p>
        <w:p>
          <w:pPr>
            <w:pStyle w:val="12"/>
            <w:tabs>
              <w:tab w:val="right" w:leader="dot" w:pos="8732"/>
            </w:tabs>
            <w:ind w:left="432"/>
            <w:jc w:val="left"/>
            <w:rPr>
              <w:rFonts w:eastAsia="仿宋_GB2312" w:cs="仿宋"/>
              <w:sz w:val="32"/>
              <w:szCs w:val="32"/>
            </w:rPr>
          </w:pPr>
          <w:r>
            <w:fldChar w:fldCharType="begin"/>
          </w:r>
          <w:r>
            <w:instrText xml:space="preserve"> HYPERLINK \l "_Toc23161" </w:instrText>
          </w:r>
          <w:r>
            <w:fldChar w:fldCharType="separate"/>
          </w:r>
          <w:r>
            <w:rPr>
              <w:rFonts w:eastAsia="仿宋_GB2312" w:cs="仿宋"/>
              <w:sz w:val="32"/>
              <w:szCs w:val="32"/>
            </w:rPr>
            <w:t xml:space="preserve">2.1 </w:t>
          </w:r>
          <w:r>
            <w:rPr>
              <w:rFonts w:hint="eastAsia" w:eastAsia="仿宋_GB2312" w:cs="仿宋"/>
              <w:sz w:val="32"/>
              <w:szCs w:val="32"/>
            </w:rPr>
            <w:t>应急指挥机构.................................................................6</w:t>
          </w:r>
          <w:r>
            <w:rPr>
              <w:rFonts w:hint="eastAsia" w:eastAsia="仿宋_GB2312" w:cs="仿宋"/>
              <w:sz w:val="32"/>
              <w:szCs w:val="32"/>
            </w:rPr>
            <w:fldChar w:fldCharType="end"/>
          </w:r>
        </w:p>
        <w:p>
          <w:pPr>
            <w:pStyle w:val="12"/>
            <w:tabs>
              <w:tab w:val="right" w:leader="dot" w:pos="8732"/>
            </w:tabs>
            <w:ind w:left="432"/>
            <w:jc w:val="left"/>
            <w:rPr>
              <w:rFonts w:eastAsia="仿宋_GB2312" w:cs="仿宋"/>
              <w:sz w:val="32"/>
              <w:szCs w:val="32"/>
            </w:rPr>
          </w:pPr>
          <w:r>
            <w:fldChar w:fldCharType="begin"/>
          </w:r>
          <w:r>
            <w:instrText xml:space="preserve"> HYPERLINK \l "_Toc18930" </w:instrText>
          </w:r>
          <w:r>
            <w:fldChar w:fldCharType="separate"/>
          </w:r>
          <w:r>
            <w:rPr>
              <w:rFonts w:eastAsia="仿宋_GB2312" w:cs="仿宋"/>
              <w:sz w:val="32"/>
              <w:szCs w:val="32"/>
            </w:rPr>
            <w:t xml:space="preserve">2.2 </w:t>
          </w:r>
          <w:r>
            <w:rPr>
              <w:rFonts w:hint="eastAsia" w:eastAsia="仿宋_GB2312" w:cs="仿宋"/>
              <w:sz w:val="32"/>
              <w:szCs w:val="32"/>
            </w:rPr>
            <w:t>办事机构.........................................................................7</w:t>
          </w:r>
          <w:r>
            <w:rPr>
              <w:rFonts w:hint="eastAsia" w:eastAsia="仿宋_GB2312" w:cs="仿宋"/>
              <w:sz w:val="32"/>
              <w:szCs w:val="32"/>
            </w:rPr>
            <w:fldChar w:fldCharType="end"/>
          </w:r>
        </w:p>
        <w:p>
          <w:pPr>
            <w:pStyle w:val="12"/>
            <w:tabs>
              <w:tab w:val="right" w:leader="dot" w:pos="8732"/>
            </w:tabs>
            <w:ind w:left="432"/>
            <w:jc w:val="left"/>
            <w:rPr>
              <w:rFonts w:eastAsia="仿宋_GB2312" w:cs="仿宋"/>
              <w:sz w:val="32"/>
              <w:szCs w:val="32"/>
            </w:rPr>
          </w:pPr>
          <w:r>
            <w:fldChar w:fldCharType="begin"/>
          </w:r>
          <w:r>
            <w:instrText xml:space="preserve"> HYPERLINK \l "_Toc22781" </w:instrText>
          </w:r>
          <w:r>
            <w:fldChar w:fldCharType="separate"/>
          </w:r>
          <w:r>
            <w:rPr>
              <w:rFonts w:eastAsia="仿宋_GB2312" w:cs="仿宋"/>
              <w:sz w:val="32"/>
              <w:szCs w:val="32"/>
            </w:rPr>
            <w:t xml:space="preserve">2.3 </w:t>
          </w:r>
          <w:r>
            <w:rPr>
              <w:rFonts w:hint="eastAsia" w:eastAsia="仿宋_GB2312" w:cs="仿宋"/>
              <w:sz w:val="32"/>
              <w:szCs w:val="32"/>
            </w:rPr>
            <w:t>成员单位职责.................................................................8</w:t>
          </w:r>
          <w:r>
            <w:rPr>
              <w:rFonts w:hint="eastAsia" w:eastAsia="仿宋_GB2312" w:cs="仿宋"/>
              <w:sz w:val="32"/>
              <w:szCs w:val="32"/>
            </w:rPr>
            <w:fldChar w:fldCharType="end"/>
          </w:r>
        </w:p>
        <w:p>
          <w:pPr>
            <w:pStyle w:val="12"/>
            <w:tabs>
              <w:tab w:val="right" w:leader="dot" w:pos="8732"/>
            </w:tabs>
            <w:ind w:left="432"/>
            <w:jc w:val="left"/>
            <w:rPr>
              <w:rFonts w:eastAsia="仿宋_GB2312" w:cs="仿宋"/>
              <w:sz w:val="32"/>
              <w:szCs w:val="32"/>
            </w:rPr>
          </w:pPr>
          <w:r>
            <w:fldChar w:fldCharType="begin"/>
          </w:r>
          <w:r>
            <w:instrText xml:space="preserve"> HYPERLINK \l "_Toc28199" </w:instrText>
          </w:r>
          <w:r>
            <w:fldChar w:fldCharType="separate"/>
          </w:r>
          <w:r>
            <w:rPr>
              <w:rFonts w:eastAsia="仿宋_GB2312" w:cs="仿宋"/>
              <w:sz w:val="32"/>
              <w:szCs w:val="32"/>
            </w:rPr>
            <w:t xml:space="preserve">2.4 </w:t>
          </w:r>
          <w:r>
            <w:rPr>
              <w:rFonts w:hint="eastAsia" w:eastAsia="仿宋_GB2312" w:cs="仿宋"/>
              <w:sz w:val="32"/>
              <w:szCs w:val="32"/>
            </w:rPr>
            <w:t>应急工作组...................................................................1</w:t>
          </w:r>
          <w:r>
            <w:rPr>
              <w:rFonts w:hint="eastAsia" w:eastAsia="仿宋_GB2312" w:cs="仿宋"/>
              <w:sz w:val="32"/>
              <w:szCs w:val="32"/>
            </w:rPr>
            <w:fldChar w:fldCharType="end"/>
          </w:r>
          <w:r>
            <w:rPr>
              <w:rFonts w:hint="eastAsia" w:eastAsia="仿宋_GB2312" w:cs="仿宋"/>
              <w:sz w:val="32"/>
              <w:szCs w:val="32"/>
            </w:rPr>
            <w:t>1</w:t>
          </w:r>
        </w:p>
        <w:p>
          <w:pPr>
            <w:pStyle w:val="11"/>
            <w:tabs>
              <w:tab w:val="right" w:leader="dot" w:pos="8732"/>
            </w:tabs>
            <w:jc w:val="left"/>
            <w:rPr>
              <w:rFonts w:eastAsia="仿宋_GB2312" w:cs="仿宋"/>
              <w:sz w:val="32"/>
              <w:szCs w:val="32"/>
            </w:rPr>
          </w:pPr>
          <w:r>
            <w:fldChar w:fldCharType="begin"/>
          </w:r>
          <w:r>
            <w:instrText xml:space="preserve"> HYPERLINK \l "_Toc4104" </w:instrText>
          </w:r>
          <w:r>
            <w:fldChar w:fldCharType="separate"/>
          </w:r>
          <w:r>
            <w:rPr>
              <w:rFonts w:ascii="黑体" w:hAnsi="黑体" w:eastAsia="黑体" w:cs="仿宋"/>
              <w:sz w:val="32"/>
              <w:szCs w:val="32"/>
            </w:rPr>
            <w:t xml:space="preserve">3 </w:t>
          </w:r>
          <w:r>
            <w:rPr>
              <w:rFonts w:hint="eastAsia" w:ascii="黑体" w:hAnsi="黑体" w:eastAsia="黑体" w:cs="仿宋"/>
              <w:sz w:val="32"/>
              <w:szCs w:val="32"/>
            </w:rPr>
            <w:t>监测预警.</w:t>
          </w:r>
          <w:r>
            <w:rPr>
              <w:rFonts w:hint="eastAsia" w:eastAsia="仿宋_GB2312" w:cs="仿宋"/>
              <w:sz w:val="32"/>
              <w:szCs w:val="32"/>
            </w:rPr>
            <w:t>.............................................................................1</w:t>
          </w:r>
          <w:r>
            <w:rPr>
              <w:rFonts w:hint="eastAsia" w:eastAsia="仿宋_GB2312" w:cs="仿宋"/>
              <w:sz w:val="32"/>
              <w:szCs w:val="32"/>
            </w:rPr>
            <w:fldChar w:fldCharType="end"/>
          </w:r>
          <w:r>
            <w:rPr>
              <w:rFonts w:hint="eastAsia" w:eastAsia="仿宋_GB2312" w:cs="仿宋"/>
              <w:sz w:val="32"/>
              <w:szCs w:val="32"/>
            </w:rPr>
            <w:t>4</w:t>
          </w:r>
        </w:p>
        <w:p>
          <w:pPr>
            <w:pStyle w:val="12"/>
            <w:tabs>
              <w:tab w:val="right" w:leader="dot" w:pos="8732"/>
            </w:tabs>
            <w:ind w:left="432"/>
            <w:jc w:val="left"/>
            <w:rPr>
              <w:rFonts w:eastAsia="仿宋_GB2312" w:cs="仿宋"/>
              <w:sz w:val="32"/>
              <w:szCs w:val="32"/>
            </w:rPr>
          </w:pPr>
          <w:r>
            <w:fldChar w:fldCharType="begin"/>
          </w:r>
          <w:r>
            <w:instrText xml:space="preserve"> HYPERLINK \l "_Toc30586" </w:instrText>
          </w:r>
          <w:r>
            <w:fldChar w:fldCharType="separate"/>
          </w:r>
          <w:r>
            <w:rPr>
              <w:rFonts w:eastAsia="仿宋_GB2312" w:cs="仿宋"/>
              <w:sz w:val="32"/>
              <w:szCs w:val="32"/>
            </w:rPr>
            <w:t xml:space="preserve">3.1 </w:t>
          </w:r>
          <w:r>
            <w:rPr>
              <w:rFonts w:hint="eastAsia" w:eastAsia="仿宋_GB2312" w:cs="仿宋"/>
              <w:sz w:val="32"/>
              <w:szCs w:val="32"/>
            </w:rPr>
            <w:t>预防...............................................................................1</w:t>
          </w:r>
          <w:r>
            <w:rPr>
              <w:rFonts w:hint="eastAsia" w:eastAsia="仿宋_GB2312" w:cs="仿宋"/>
              <w:sz w:val="32"/>
              <w:szCs w:val="32"/>
            </w:rPr>
            <w:fldChar w:fldCharType="end"/>
          </w:r>
          <w:r>
            <w:rPr>
              <w:rFonts w:hint="eastAsia" w:eastAsia="仿宋_GB2312" w:cs="仿宋"/>
              <w:sz w:val="32"/>
              <w:szCs w:val="32"/>
            </w:rPr>
            <w:t>4</w:t>
          </w:r>
        </w:p>
        <w:p>
          <w:pPr>
            <w:pStyle w:val="12"/>
            <w:tabs>
              <w:tab w:val="right" w:leader="dot" w:pos="8732"/>
            </w:tabs>
            <w:ind w:left="432"/>
            <w:jc w:val="left"/>
            <w:rPr>
              <w:rFonts w:eastAsia="仿宋_GB2312" w:cs="仿宋"/>
              <w:sz w:val="32"/>
              <w:szCs w:val="32"/>
            </w:rPr>
          </w:pPr>
          <w:r>
            <w:fldChar w:fldCharType="begin"/>
          </w:r>
          <w:r>
            <w:instrText xml:space="preserve"> HYPERLINK \l "_Toc433" </w:instrText>
          </w:r>
          <w:r>
            <w:fldChar w:fldCharType="separate"/>
          </w:r>
          <w:r>
            <w:rPr>
              <w:rFonts w:eastAsia="仿宋_GB2312" w:cs="仿宋"/>
              <w:sz w:val="32"/>
              <w:szCs w:val="32"/>
            </w:rPr>
            <w:t xml:space="preserve">3.2 </w:t>
          </w:r>
          <w:r>
            <w:rPr>
              <w:rFonts w:hint="eastAsia" w:eastAsia="仿宋_GB2312" w:cs="仿宋"/>
              <w:sz w:val="32"/>
              <w:szCs w:val="32"/>
            </w:rPr>
            <w:t>监测...............................................................................1</w:t>
          </w:r>
          <w:r>
            <w:rPr>
              <w:rFonts w:hint="eastAsia" w:eastAsia="仿宋_GB2312" w:cs="仿宋"/>
              <w:sz w:val="32"/>
              <w:szCs w:val="32"/>
            </w:rPr>
            <w:fldChar w:fldCharType="end"/>
          </w:r>
          <w:r>
            <w:rPr>
              <w:rFonts w:hint="eastAsia" w:eastAsia="仿宋_GB2312" w:cs="仿宋"/>
              <w:sz w:val="32"/>
              <w:szCs w:val="32"/>
            </w:rPr>
            <w:t>5</w:t>
          </w:r>
        </w:p>
        <w:p>
          <w:pPr>
            <w:pStyle w:val="12"/>
            <w:tabs>
              <w:tab w:val="right" w:leader="dot" w:pos="8732"/>
            </w:tabs>
            <w:ind w:left="432"/>
            <w:jc w:val="left"/>
            <w:rPr>
              <w:rFonts w:eastAsia="仿宋_GB2312" w:cs="仿宋"/>
              <w:sz w:val="32"/>
              <w:szCs w:val="32"/>
            </w:rPr>
          </w:pPr>
          <w:r>
            <w:fldChar w:fldCharType="begin"/>
          </w:r>
          <w:r>
            <w:instrText xml:space="preserve"> HYPERLINK \l "_Toc19539" </w:instrText>
          </w:r>
          <w:r>
            <w:fldChar w:fldCharType="separate"/>
          </w:r>
          <w:r>
            <w:rPr>
              <w:rFonts w:eastAsia="仿宋_GB2312" w:cs="仿宋"/>
              <w:sz w:val="32"/>
              <w:szCs w:val="32"/>
            </w:rPr>
            <w:t xml:space="preserve">3.3 </w:t>
          </w:r>
          <w:r>
            <w:rPr>
              <w:rFonts w:hint="eastAsia" w:eastAsia="仿宋_GB2312" w:cs="仿宋"/>
              <w:sz w:val="32"/>
              <w:szCs w:val="32"/>
            </w:rPr>
            <w:t>评估...............................................................................1</w:t>
          </w:r>
          <w:r>
            <w:rPr>
              <w:rFonts w:hint="eastAsia" w:eastAsia="仿宋_GB2312" w:cs="仿宋"/>
              <w:sz w:val="32"/>
              <w:szCs w:val="32"/>
            </w:rPr>
            <w:fldChar w:fldCharType="end"/>
          </w:r>
          <w:r>
            <w:rPr>
              <w:rFonts w:hint="eastAsia" w:eastAsia="仿宋_GB2312" w:cs="仿宋"/>
              <w:sz w:val="32"/>
              <w:szCs w:val="32"/>
            </w:rPr>
            <w:t>5</w:t>
          </w:r>
        </w:p>
        <w:p>
          <w:pPr>
            <w:pStyle w:val="12"/>
            <w:tabs>
              <w:tab w:val="right" w:leader="dot" w:pos="8732"/>
            </w:tabs>
            <w:ind w:left="432"/>
            <w:jc w:val="left"/>
            <w:rPr>
              <w:rFonts w:eastAsia="仿宋_GB2312"/>
            </w:rPr>
          </w:pPr>
          <w:r>
            <w:fldChar w:fldCharType="begin"/>
          </w:r>
          <w:r>
            <w:instrText xml:space="preserve"> HYPERLINK \l "_Toc19539" </w:instrText>
          </w:r>
          <w:r>
            <w:fldChar w:fldCharType="separate"/>
          </w:r>
          <w:r>
            <w:rPr>
              <w:rFonts w:eastAsia="仿宋_GB2312" w:cs="仿宋"/>
              <w:sz w:val="32"/>
              <w:szCs w:val="32"/>
            </w:rPr>
            <w:t>3.</w:t>
          </w:r>
          <w:r>
            <w:rPr>
              <w:rFonts w:hint="eastAsia" w:eastAsia="仿宋_GB2312" w:cs="仿宋"/>
              <w:sz w:val="32"/>
              <w:szCs w:val="32"/>
            </w:rPr>
            <w:t xml:space="preserve">4 </w:t>
          </w:r>
          <w:r>
            <w:rPr>
              <w:rFonts w:hint="eastAsia" w:cs="仿宋"/>
              <w:sz w:val="32"/>
              <w:szCs w:val="32"/>
            </w:rPr>
            <w:t>预警...............................................................................</w:t>
          </w:r>
          <w:r>
            <w:rPr>
              <w:rFonts w:hint="eastAsia" w:eastAsia="仿宋_GB2312" w:cs="仿宋"/>
              <w:sz w:val="32"/>
              <w:szCs w:val="32"/>
            </w:rPr>
            <w:t>1</w:t>
          </w:r>
          <w:r>
            <w:rPr>
              <w:rFonts w:hint="eastAsia" w:eastAsia="仿宋_GB2312" w:cs="仿宋"/>
              <w:sz w:val="32"/>
              <w:szCs w:val="32"/>
            </w:rPr>
            <w:fldChar w:fldCharType="end"/>
          </w:r>
          <w:r>
            <w:rPr>
              <w:rFonts w:hint="eastAsia" w:eastAsia="仿宋_GB2312" w:cs="仿宋"/>
              <w:sz w:val="32"/>
              <w:szCs w:val="32"/>
            </w:rPr>
            <w:t>6</w:t>
          </w:r>
        </w:p>
        <w:p>
          <w:pPr>
            <w:pStyle w:val="11"/>
            <w:tabs>
              <w:tab w:val="right" w:leader="dot" w:pos="8732"/>
            </w:tabs>
            <w:jc w:val="left"/>
            <w:rPr>
              <w:rFonts w:eastAsia="仿宋_GB2312" w:cs="仿宋"/>
              <w:sz w:val="32"/>
              <w:szCs w:val="32"/>
            </w:rPr>
          </w:pPr>
          <w:r>
            <w:fldChar w:fldCharType="begin"/>
          </w:r>
          <w:r>
            <w:instrText xml:space="preserve"> HYPERLINK \l "_Toc28619" </w:instrText>
          </w:r>
          <w:r>
            <w:fldChar w:fldCharType="separate"/>
          </w:r>
          <w:r>
            <w:rPr>
              <w:rFonts w:ascii="黑体" w:hAnsi="黑体" w:eastAsia="黑体" w:cs="仿宋"/>
              <w:sz w:val="32"/>
              <w:szCs w:val="32"/>
            </w:rPr>
            <w:t xml:space="preserve">4 </w:t>
          </w:r>
          <w:r>
            <w:rPr>
              <w:rFonts w:hint="eastAsia" w:ascii="黑体" w:hAnsi="黑体" w:eastAsia="黑体" w:cs="仿宋"/>
              <w:sz w:val="32"/>
              <w:szCs w:val="32"/>
            </w:rPr>
            <w:t>应急响应</w:t>
          </w:r>
          <w:r>
            <w:rPr>
              <w:rFonts w:hint="eastAsia" w:eastAsia="仿宋_GB2312" w:cs="仿宋"/>
              <w:sz w:val="32"/>
              <w:szCs w:val="32"/>
            </w:rPr>
            <w:t>...............................................................................19</w:t>
          </w:r>
          <w:r>
            <w:rPr>
              <w:rFonts w:hint="eastAsia" w:eastAsia="仿宋_GB2312" w:cs="仿宋"/>
              <w:sz w:val="32"/>
              <w:szCs w:val="32"/>
            </w:rPr>
            <w:fldChar w:fldCharType="end"/>
          </w:r>
        </w:p>
        <w:p>
          <w:pPr>
            <w:pStyle w:val="12"/>
            <w:tabs>
              <w:tab w:val="right" w:leader="dot" w:pos="8732"/>
            </w:tabs>
            <w:ind w:left="432"/>
            <w:jc w:val="left"/>
            <w:rPr>
              <w:rFonts w:eastAsia="仿宋_GB2312" w:cs="仿宋"/>
              <w:sz w:val="32"/>
              <w:szCs w:val="32"/>
            </w:rPr>
          </w:pPr>
          <w:r>
            <w:fldChar w:fldCharType="begin"/>
          </w:r>
          <w:r>
            <w:instrText xml:space="preserve"> HYPERLINK \l "_Toc32187" </w:instrText>
          </w:r>
          <w:r>
            <w:fldChar w:fldCharType="separate"/>
          </w:r>
          <w:r>
            <w:rPr>
              <w:rFonts w:eastAsia="仿宋_GB2312" w:cs="仿宋"/>
              <w:sz w:val="32"/>
              <w:szCs w:val="32"/>
            </w:rPr>
            <w:t xml:space="preserve">4.1 </w:t>
          </w:r>
          <w:r>
            <w:rPr>
              <w:rFonts w:hint="eastAsia" w:eastAsia="仿宋_GB2312" w:cs="仿宋"/>
              <w:sz w:val="32"/>
              <w:szCs w:val="32"/>
            </w:rPr>
            <w:t>信息报送.......................................................................19</w:t>
          </w:r>
          <w:r>
            <w:rPr>
              <w:rFonts w:hint="eastAsia" w:eastAsia="仿宋_GB2312" w:cs="仿宋"/>
              <w:sz w:val="32"/>
              <w:szCs w:val="32"/>
            </w:rPr>
            <w:fldChar w:fldCharType="end"/>
          </w:r>
        </w:p>
        <w:p>
          <w:pPr>
            <w:pStyle w:val="12"/>
            <w:tabs>
              <w:tab w:val="right" w:leader="dot" w:pos="8732"/>
            </w:tabs>
            <w:ind w:left="432"/>
            <w:jc w:val="left"/>
            <w:rPr>
              <w:rFonts w:eastAsia="仿宋_GB2312" w:cs="仿宋"/>
              <w:sz w:val="32"/>
              <w:szCs w:val="32"/>
            </w:rPr>
          </w:pPr>
          <w:r>
            <w:fldChar w:fldCharType="begin"/>
          </w:r>
          <w:r>
            <w:instrText xml:space="preserve"> HYPERLINK \l "_Toc9111" </w:instrText>
          </w:r>
          <w:r>
            <w:fldChar w:fldCharType="separate"/>
          </w:r>
          <w:r>
            <w:rPr>
              <w:rFonts w:eastAsia="仿宋_GB2312" w:cs="仿宋"/>
              <w:sz w:val="32"/>
              <w:szCs w:val="32"/>
            </w:rPr>
            <w:t xml:space="preserve">4.2 </w:t>
          </w:r>
          <w:r>
            <w:rPr>
              <w:rFonts w:hint="eastAsia" w:eastAsia="仿宋_GB2312" w:cs="仿宋"/>
              <w:sz w:val="32"/>
              <w:szCs w:val="32"/>
            </w:rPr>
            <w:t>先期处置.......................................................................</w:t>
          </w:r>
          <w:r>
            <w:rPr>
              <w:rFonts w:hint="eastAsia" w:eastAsia="仿宋_GB2312" w:cs="仿宋"/>
              <w:sz w:val="32"/>
              <w:szCs w:val="32"/>
            </w:rPr>
            <w:fldChar w:fldCharType="begin"/>
          </w:r>
          <w:r>
            <w:rPr>
              <w:rFonts w:hint="eastAsia" w:eastAsia="仿宋_GB2312" w:cs="仿宋"/>
              <w:sz w:val="32"/>
              <w:szCs w:val="32"/>
            </w:rPr>
            <w:instrText xml:space="preserve"> PAGEREF _Toc9111 \h </w:instrText>
          </w:r>
          <w:r>
            <w:rPr>
              <w:rFonts w:hint="eastAsia" w:eastAsia="仿宋_GB2312" w:cs="仿宋"/>
              <w:sz w:val="32"/>
              <w:szCs w:val="32"/>
            </w:rPr>
            <w:fldChar w:fldCharType="separate"/>
          </w:r>
          <w:r>
            <w:rPr>
              <w:rFonts w:eastAsia="仿宋_GB2312" w:cs="仿宋"/>
              <w:sz w:val="32"/>
              <w:szCs w:val="32"/>
            </w:rPr>
            <w:t>20</w:t>
          </w:r>
          <w:r>
            <w:rPr>
              <w:rFonts w:hint="eastAsia" w:eastAsia="仿宋_GB2312" w:cs="仿宋"/>
              <w:sz w:val="32"/>
              <w:szCs w:val="32"/>
            </w:rPr>
            <w:fldChar w:fldCharType="end"/>
          </w:r>
          <w:r>
            <w:rPr>
              <w:rFonts w:hint="eastAsia" w:eastAsia="仿宋_GB2312" w:cs="仿宋"/>
              <w:sz w:val="32"/>
              <w:szCs w:val="32"/>
            </w:rPr>
            <w:fldChar w:fldCharType="end"/>
          </w:r>
        </w:p>
        <w:p>
          <w:pPr>
            <w:pStyle w:val="12"/>
            <w:tabs>
              <w:tab w:val="right" w:leader="dot" w:pos="8732"/>
            </w:tabs>
            <w:ind w:left="432"/>
            <w:jc w:val="left"/>
            <w:rPr>
              <w:rFonts w:eastAsia="仿宋_GB2312" w:cs="仿宋"/>
              <w:sz w:val="32"/>
              <w:szCs w:val="32"/>
            </w:rPr>
          </w:pPr>
          <w:r>
            <w:fldChar w:fldCharType="begin"/>
          </w:r>
          <w:r>
            <w:instrText xml:space="preserve"> HYPERLINK \l "_Toc22764" </w:instrText>
          </w:r>
          <w:r>
            <w:fldChar w:fldCharType="separate"/>
          </w:r>
          <w:r>
            <w:rPr>
              <w:rFonts w:eastAsia="仿宋_GB2312" w:cs="仿宋"/>
              <w:sz w:val="32"/>
              <w:szCs w:val="32"/>
            </w:rPr>
            <w:t xml:space="preserve">4.3 </w:t>
          </w:r>
          <w:r>
            <w:rPr>
              <w:rFonts w:hint="eastAsia" w:eastAsia="仿宋_GB2312" w:cs="仿宋"/>
              <w:sz w:val="32"/>
              <w:szCs w:val="32"/>
            </w:rPr>
            <w:t>分级响应.......................................................................2</w:t>
          </w:r>
          <w:r>
            <w:rPr>
              <w:rFonts w:hint="eastAsia" w:eastAsia="仿宋_GB2312" w:cs="仿宋"/>
              <w:sz w:val="32"/>
              <w:szCs w:val="32"/>
            </w:rPr>
            <w:fldChar w:fldCharType="end"/>
          </w:r>
          <w:r>
            <w:rPr>
              <w:rFonts w:hint="eastAsia" w:eastAsia="仿宋_GB2312" w:cs="仿宋"/>
              <w:sz w:val="32"/>
              <w:szCs w:val="32"/>
            </w:rPr>
            <w:t>1</w:t>
          </w:r>
        </w:p>
        <w:p>
          <w:pPr>
            <w:pStyle w:val="12"/>
            <w:tabs>
              <w:tab w:val="right" w:leader="dot" w:pos="8732"/>
            </w:tabs>
            <w:ind w:left="432"/>
            <w:jc w:val="left"/>
            <w:rPr>
              <w:rFonts w:eastAsia="仿宋_GB2312" w:cs="仿宋"/>
              <w:sz w:val="32"/>
              <w:szCs w:val="32"/>
            </w:rPr>
          </w:pPr>
          <w:r>
            <w:fldChar w:fldCharType="begin"/>
          </w:r>
          <w:r>
            <w:instrText xml:space="preserve"> HYPERLINK \l "_Toc16991" </w:instrText>
          </w:r>
          <w:r>
            <w:fldChar w:fldCharType="separate"/>
          </w:r>
          <w:r>
            <w:rPr>
              <w:rFonts w:eastAsia="仿宋_GB2312" w:cs="仿宋"/>
              <w:sz w:val="32"/>
              <w:szCs w:val="32"/>
            </w:rPr>
            <w:t xml:space="preserve">4.4 </w:t>
          </w:r>
          <w:r>
            <w:rPr>
              <w:rFonts w:hint="eastAsia" w:eastAsia="仿宋_GB2312" w:cs="仿宋"/>
              <w:sz w:val="32"/>
              <w:szCs w:val="32"/>
            </w:rPr>
            <w:t>应急结束.......................................................................2</w:t>
          </w:r>
          <w:r>
            <w:rPr>
              <w:rFonts w:hint="eastAsia" w:eastAsia="仿宋_GB2312" w:cs="仿宋"/>
              <w:sz w:val="32"/>
              <w:szCs w:val="32"/>
            </w:rPr>
            <w:fldChar w:fldCharType="end"/>
          </w:r>
          <w:r>
            <w:rPr>
              <w:rFonts w:hint="eastAsia" w:eastAsia="仿宋_GB2312" w:cs="仿宋"/>
              <w:sz w:val="32"/>
              <w:szCs w:val="32"/>
            </w:rPr>
            <w:t>5</w:t>
          </w:r>
        </w:p>
        <w:p>
          <w:pPr>
            <w:pStyle w:val="12"/>
            <w:tabs>
              <w:tab w:val="right" w:leader="dot" w:pos="8732"/>
            </w:tabs>
            <w:ind w:left="432"/>
            <w:jc w:val="left"/>
            <w:rPr>
              <w:rFonts w:eastAsia="仿宋_GB2312" w:cs="仿宋"/>
              <w:sz w:val="32"/>
              <w:szCs w:val="32"/>
            </w:rPr>
          </w:pPr>
          <w:r>
            <w:fldChar w:fldCharType="begin"/>
          </w:r>
          <w:r>
            <w:instrText xml:space="preserve"> HYPERLINK \l "_Toc12062" </w:instrText>
          </w:r>
          <w:r>
            <w:fldChar w:fldCharType="separate"/>
          </w:r>
          <w:r>
            <w:rPr>
              <w:rFonts w:eastAsia="仿宋_GB2312" w:cs="仿宋"/>
              <w:sz w:val="32"/>
              <w:szCs w:val="32"/>
            </w:rPr>
            <w:t xml:space="preserve">4.5 </w:t>
          </w:r>
          <w:r>
            <w:rPr>
              <w:rFonts w:hint="eastAsia" w:eastAsia="仿宋_GB2312" w:cs="仿宋"/>
              <w:sz w:val="32"/>
              <w:szCs w:val="32"/>
            </w:rPr>
            <w:t>信息发布.......................................................................2</w:t>
          </w:r>
          <w:r>
            <w:rPr>
              <w:rFonts w:hint="eastAsia" w:eastAsia="仿宋_GB2312" w:cs="仿宋"/>
              <w:sz w:val="32"/>
              <w:szCs w:val="32"/>
            </w:rPr>
            <w:fldChar w:fldCharType="end"/>
          </w:r>
          <w:r>
            <w:rPr>
              <w:rFonts w:hint="eastAsia" w:eastAsia="仿宋_GB2312" w:cs="仿宋"/>
              <w:sz w:val="32"/>
              <w:szCs w:val="32"/>
            </w:rPr>
            <w:t>5</w:t>
          </w:r>
        </w:p>
        <w:p>
          <w:pPr>
            <w:pStyle w:val="11"/>
            <w:tabs>
              <w:tab w:val="right" w:leader="dot" w:pos="8732"/>
            </w:tabs>
            <w:jc w:val="left"/>
            <w:rPr>
              <w:rFonts w:eastAsia="仿宋_GB2312" w:cs="仿宋"/>
              <w:sz w:val="32"/>
              <w:szCs w:val="32"/>
            </w:rPr>
          </w:pPr>
          <w:r>
            <w:fldChar w:fldCharType="begin"/>
          </w:r>
          <w:r>
            <w:instrText xml:space="preserve"> HYPERLINK \l "_Toc23882" </w:instrText>
          </w:r>
          <w:r>
            <w:fldChar w:fldCharType="separate"/>
          </w:r>
          <w:r>
            <w:rPr>
              <w:rFonts w:ascii="黑体" w:hAnsi="黑体" w:eastAsia="黑体" w:cs="仿宋"/>
              <w:sz w:val="32"/>
              <w:szCs w:val="32"/>
            </w:rPr>
            <w:t xml:space="preserve">5 </w:t>
          </w:r>
          <w:r>
            <w:rPr>
              <w:rFonts w:hint="eastAsia" w:ascii="黑体" w:hAnsi="黑体" w:eastAsia="黑体" w:cs="仿宋"/>
              <w:sz w:val="32"/>
              <w:szCs w:val="32"/>
            </w:rPr>
            <w:t>后期处置</w:t>
          </w:r>
          <w:r>
            <w:rPr>
              <w:rFonts w:hint="eastAsia" w:eastAsia="仿宋_GB2312" w:cs="仿宋"/>
              <w:sz w:val="32"/>
              <w:szCs w:val="32"/>
            </w:rPr>
            <w:t>...............................................................................2</w:t>
          </w:r>
          <w:r>
            <w:rPr>
              <w:rFonts w:hint="eastAsia" w:eastAsia="仿宋_GB2312" w:cs="仿宋"/>
              <w:sz w:val="32"/>
              <w:szCs w:val="32"/>
            </w:rPr>
            <w:fldChar w:fldCharType="end"/>
          </w:r>
          <w:r>
            <w:rPr>
              <w:rFonts w:hint="eastAsia" w:eastAsia="仿宋_GB2312" w:cs="仿宋"/>
              <w:sz w:val="32"/>
              <w:szCs w:val="32"/>
            </w:rPr>
            <w:t>6</w:t>
          </w:r>
        </w:p>
        <w:p>
          <w:pPr>
            <w:pStyle w:val="12"/>
            <w:tabs>
              <w:tab w:val="right" w:leader="dot" w:pos="8732"/>
            </w:tabs>
            <w:ind w:left="432"/>
            <w:jc w:val="left"/>
            <w:rPr>
              <w:rFonts w:eastAsia="仿宋_GB2312" w:cs="仿宋"/>
              <w:sz w:val="32"/>
              <w:szCs w:val="32"/>
            </w:rPr>
          </w:pPr>
          <w:r>
            <w:fldChar w:fldCharType="begin"/>
          </w:r>
          <w:r>
            <w:instrText xml:space="preserve"> HYPERLINK \l "_Toc26240" </w:instrText>
          </w:r>
          <w:r>
            <w:fldChar w:fldCharType="separate"/>
          </w:r>
          <w:r>
            <w:rPr>
              <w:rFonts w:eastAsia="仿宋_GB2312" w:cs="仿宋"/>
              <w:sz w:val="32"/>
              <w:szCs w:val="32"/>
            </w:rPr>
            <w:t xml:space="preserve">5.1 </w:t>
          </w:r>
          <w:r>
            <w:rPr>
              <w:rFonts w:hint="eastAsia" w:eastAsia="仿宋_GB2312" w:cs="仿宋"/>
              <w:sz w:val="32"/>
              <w:szCs w:val="32"/>
            </w:rPr>
            <w:t>善后处置.......................................................................2</w:t>
          </w:r>
          <w:r>
            <w:rPr>
              <w:rFonts w:hint="eastAsia" w:eastAsia="仿宋_GB2312" w:cs="仿宋"/>
              <w:sz w:val="32"/>
              <w:szCs w:val="32"/>
            </w:rPr>
            <w:fldChar w:fldCharType="end"/>
          </w:r>
          <w:r>
            <w:rPr>
              <w:rFonts w:hint="eastAsia" w:eastAsia="仿宋_GB2312" w:cs="仿宋"/>
              <w:sz w:val="32"/>
              <w:szCs w:val="32"/>
            </w:rPr>
            <w:t>6</w:t>
          </w:r>
        </w:p>
        <w:p>
          <w:pPr>
            <w:pStyle w:val="12"/>
            <w:tabs>
              <w:tab w:val="right" w:leader="dot" w:pos="8732"/>
            </w:tabs>
            <w:ind w:left="432"/>
            <w:jc w:val="left"/>
            <w:rPr>
              <w:rFonts w:eastAsia="仿宋_GB2312" w:cs="仿宋"/>
              <w:sz w:val="32"/>
              <w:szCs w:val="32"/>
            </w:rPr>
          </w:pPr>
          <w:r>
            <w:fldChar w:fldCharType="begin"/>
          </w:r>
          <w:r>
            <w:instrText xml:space="preserve"> HYPERLINK \l "_Toc31968" </w:instrText>
          </w:r>
          <w:r>
            <w:fldChar w:fldCharType="separate"/>
          </w:r>
          <w:r>
            <w:rPr>
              <w:rFonts w:eastAsia="仿宋_GB2312" w:cs="仿宋"/>
              <w:sz w:val="32"/>
              <w:szCs w:val="32"/>
            </w:rPr>
            <w:t xml:space="preserve">5.2 </w:t>
          </w:r>
          <w:r>
            <w:rPr>
              <w:rFonts w:hint="eastAsia" w:eastAsia="仿宋_GB2312" w:cs="仿宋"/>
              <w:sz w:val="32"/>
              <w:szCs w:val="32"/>
            </w:rPr>
            <w:t>调查、评估和总结.......................................................2</w:t>
          </w:r>
          <w:r>
            <w:rPr>
              <w:rFonts w:hint="eastAsia" w:eastAsia="仿宋_GB2312" w:cs="仿宋"/>
              <w:sz w:val="32"/>
              <w:szCs w:val="32"/>
            </w:rPr>
            <w:fldChar w:fldCharType="end"/>
          </w:r>
          <w:r>
            <w:rPr>
              <w:rFonts w:hint="eastAsia" w:eastAsia="仿宋_GB2312" w:cs="仿宋"/>
              <w:sz w:val="32"/>
              <w:szCs w:val="32"/>
            </w:rPr>
            <w:t>6</w:t>
          </w:r>
        </w:p>
        <w:p>
          <w:pPr>
            <w:pStyle w:val="12"/>
            <w:tabs>
              <w:tab w:val="right" w:leader="dot" w:pos="8732"/>
            </w:tabs>
            <w:ind w:left="432"/>
            <w:jc w:val="left"/>
            <w:rPr>
              <w:rFonts w:eastAsia="仿宋_GB2312" w:cs="仿宋"/>
              <w:sz w:val="32"/>
              <w:szCs w:val="32"/>
            </w:rPr>
          </w:pPr>
          <w:r>
            <w:fldChar w:fldCharType="begin"/>
          </w:r>
          <w:r>
            <w:instrText xml:space="preserve"> HYPERLINK \l "_Toc7207" </w:instrText>
          </w:r>
          <w:r>
            <w:fldChar w:fldCharType="separate"/>
          </w:r>
          <w:r>
            <w:rPr>
              <w:rFonts w:eastAsia="仿宋_GB2312" w:cs="仿宋"/>
              <w:sz w:val="32"/>
              <w:szCs w:val="32"/>
            </w:rPr>
            <w:t xml:space="preserve">5.3 </w:t>
          </w:r>
          <w:r>
            <w:rPr>
              <w:rFonts w:hint="eastAsia" w:eastAsia="仿宋_GB2312" w:cs="仿宋"/>
              <w:sz w:val="32"/>
              <w:szCs w:val="32"/>
            </w:rPr>
            <w:t>现场恢复.......................................................................2</w:t>
          </w:r>
          <w:r>
            <w:rPr>
              <w:rFonts w:hint="eastAsia" w:eastAsia="仿宋_GB2312" w:cs="仿宋"/>
              <w:sz w:val="32"/>
              <w:szCs w:val="32"/>
            </w:rPr>
            <w:fldChar w:fldCharType="end"/>
          </w:r>
          <w:r>
            <w:rPr>
              <w:rFonts w:hint="eastAsia" w:eastAsia="仿宋_GB2312" w:cs="仿宋"/>
              <w:sz w:val="32"/>
              <w:szCs w:val="32"/>
            </w:rPr>
            <w:t>7</w:t>
          </w:r>
        </w:p>
        <w:p>
          <w:pPr>
            <w:pStyle w:val="11"/>
            <w:tabs>
              <w:tab w:val="right" w:leader="dot" w:pos="8732"/>
            </w:tabs>
            <w:jc w:val="left"/>
            <w:rPr>
              <w:rFonts w:eastAsia="仿宋_GB2312" w:cs="仿宋"/>
              <w:sz w:val="32"/>
              <w:szCs w:val="32"/>
            </w:rPr>
          </w:pPr>
          <w:r>
            <w:fldChar w:fldCharType="begin"/>
          </w:r>
          <w:r>
            <w:instrText xml:space="preserve"> HYPERLINK \l "_Toc28112" </w:instrText>
          </w:r>
          <w:r>
            <w:fldChar w:fldCharType="separate"/>
          </w:r>
          <w:r>
            <w:rPr>
              <w:rFonts w:ascii="黑体" w:hAnsi="黑体" w:eastAsia="黑体" w:cs="仿宋"/>
              <w:sz w:val="32"/>
              <w:szCs w:val="32"/>
            </w:rPr>
            <w:t xml:space="preserve">6 </w:t>
          </w:r>
          <w:r>
            <w:rPr>
              <w:rFonts w:hint="eastAsia" w:ascii="黑体" w:hAnsi="黑体" w:eastAsia="黑体" w:cs="仿宋"/>
              <w:sz w:val="32"/>
              <w:szCs w:val="32"/>
            </w:rPr>
            <w:t>应急保障</w:t>
          </w:r>
          <w:r>
            <w:rPr>
              <w:rFonts w:hint="eastAsia" w:eastAsia="仿宋_GB2312" w:cs="仿宋"/>
              <w:sz w:val="32"/>
              <w:szCs w:val="32"/>
            </w:rPr>
            <w:t>...............................................................................2</w:t>
          </w:r>
          <w:r>
            <w:rPr>
              <w:rFonts w:hint="eastAsia" w:eastAsia="仿宋_GB2312" w:cs="仿宋"/>
              <w:sz w:val="32"/>
              <w:szCs w:val="32"/>
            </w:rPr>
            <w:fldChar w:fldCharType="end"/>
          </w:r>
          <w:r>
            <w:rPr>
              <w:rFonts w:hint="eastAsia" w:eastAsia="仿宋_GB2312" w:cs="仿宋"/>
              <w:sz w:val="32"/>
              <w:szCs w:val="32"/>
            </w:rPr>
            <w:t>7</w:t>
          </w:r>
        </w:p>
        <w:p>
          <w:pPr>
            <w:pStyle w:val="12"/>
            <w:tabs>
              <w:tab w:val="right" w:leader="dot" w:pos="8732"/>
            </w:tabs>
            <w:ind w:left="432"/>
            <w:jc w:val="left"/>
            <w:rPr>
              <w:rFonts w:eastAsia="仿宋_GB2312" w:cs="仿宋"/>
              <w:sz w:val="32"/>
              <w:szCs w:val="32"/>
            </w:rPr>
          </w:pPr>
          <w:r>
            <w:fldChar w:fldCharType="begin"/>
          </w:r>
          <w:r>
            <w:instrText xml:space="preserve"> HYPERLINK \l "_Toc9801" </w:instrText>
          </w:r>
          <w:r>
            <w:fldChar w:fldCharType="separate"/>
          </w:r>
          <w:r>
            <w:rPr>
              <w:rFonts w:eastAsia="仿宋_GB2312" w:cs="仿宋"/>
              <w:sz w:val="32"/>
              <w:szCs w:val="32"/>
            </w:rPr>
            <w:t xml:space="preserve">6.1 </w:t>
          </w:r>
          <w:r>
            <w:rPr>
              <w:rFonts w:hint="eastAsia" w:eastAsia="仿宋_GB2312" w:cs="仿宋"/>
              <w:sz w:val="32"/>
              <w:szCs w:val="32"/>
            </w:rPr>
            <w:t>通信信息保障...............................................................2</w:t>
          </w:r>
          <w:r>
            <w:rPr>
              <w:rFonts w:hint="eastAsia" w:eastAsia="仿宋_GB2312" w:cs="仿宋"/>
              <w:sz w:val="32"/>
              <w:szCs w:val="32"/>
            </w:rPr>
            <w:fldChar w:fldCharType="end"/>
          </w:r>
          <w:r>
            <w:rPr>
              <w:rFonts w:hint="eastAsia" w:eastAsia="仿宋_GB2312" w:cs="仿宋"/>
              <w:sz w:val="32"/>
              <w:szCs w:val="32"/>
            </w:rPr>
            <w:t>7</w:t>
          </w:r>
        </w:p>
        <w:p>
          <w:pPr>
            <w:pStyle w:val="12"/>
            <w:tabs>
              <w:tab w:val="right" w:leader="dot" w:pos="8732"/>
            </w:tabs>
            <w:ind w:left="432"/>
            <w:jc w:val="left"/>
            <w:rPr>
              <w:rFonts w:eastAsia="仿宋_GB2312" w:cs="仿宋"/>
              <w:sz w:val="32"/>
              <w:szCs w:val="32"/>
            </w:rPr>
          </w:pPr>
          <w:r>
            <w:fldChar w:fldCharType="begin"/>
          </w:r>
          <w:r>
            <w:instrText xml:space="preserve"> HYPERLINK \l "_Toc174" </w:instrText>
          </w:r>
          <w:r>
            <w:fldChar w:fldCharType="separate"/>
          </w:r>
          <w:r>
            <w:rPr>
              <w:rFonts w:eastAsia="仿宋_GB2312" w:cs="仿宋"/>
              <w:sz w:val="32"/>
              <w:szCs w:val="32"/>
            </w:rPr>
            <w:t xml:space="preserve">6.2 </w:t>
          </w:r>
          <w:r>
            <w:rPr>
              <w:rFonts w:hint="eastAsia" w:eastAsia="仿宋_GB2312" w:cs="仿宋"/>
              <w:sz w:val="32"/>
              <w:szCs w:val="32"/>
            </w:rPr>
            <w:t>应急队伍</w:t>
          </w:r>
          <w:r>
            <w:rPr>
              <w:rFonts w:eastAsia="仿宋_GB2312" w:cs="仿宋"/>
              <w:sz w:val="32"/>
              <w:szCs w:val="32"/>
            </w:rPr>
            <w:t>保障</w:t>
          </w:r>
          <w:r>
            <w:rPr>
              <w:rFonts w:hint="eastAsia" w:eastAsia="仿宋_GB2312" w:cs="仿宋"/>
              <w:sz w:val="32"/>
              <w:szCs w:val="32"/>
            </w:rPr>
            <w:t>...............................................................27</w:t>
          </w:r>
          <w:r>
            <w:rPr>
              <w:rFonts w:hint="eastAsia" w:eastAsia="仿宋_GB2312" w:cs="仿宋"/>
              <w:sz w:val="32"/>
              <w:szCs w:val="32"/>
            </w:rPr>
            <w:fldChar w:fldCharType="end"/>
          </w:r>
        </w:p>
        <w:p>
          <w:pPr>
            <w:pStyle w:val="12"/>
            <w:tabs>
              <w:tab w:val="right" w:leader="dot" w:pos="8732"/>
            </w:tabs>
            <w:ind w:left="432"/>
            <w:jc w:val="left"/>
            <w:rPr>
              <w:rFonts w:eastAsia="仿宋_GB2312" w:cs="仿宋"/>
              <w:sz w:val="32"/>
              <w:szCs w:val="32"/>
            </w:rPr>
          </w:pPr>
          <w:r>
            <w:fldChar w:fldCharType="begin"/>
          </w:r>
          <w:r>
            <w:instrText xml:space="preserve"> HYPERLINK \l "_Toc383" </w:instrText>
          </w:r>
          <w:r>
            <w:fldChar w:fldCharType="separate"/>
          </w:r>
          <w:r>
            <w:rPr>
              <w:rFonts w:hint="eastAsia" w:eastAsia="仿宋_GB2312" w:cs="仿宋"/>
              <w:sz w:val="32"/>
              <w:szCs w:val="32"/>
            </w:rPr>
            <w:t>6.3 物资装备保障...............................................................28</w:t>
          </w:r>
          <w:r>
            <w:rPr>
              <w:rFonts w:hint="eastAsia" w:eastAsia="仿宋_GB2312" w:cs="仿宋"/>
              <w:sz w:val="32"/>
              <w:szCs w:val="32"/>
            </w:rPr>
            <w:fldChar w:fldCharType="end"/>
          </w:r>
        </w:p>
        <w:p>
          <w:pPr>
            <w:pStyle w:val="12"/>
            <w:tabs>
              <w:tab w:val="right" w:leader="dot" w:pos="8732"/>
            </w:tabs>
            <w:ind w:left="432"/>
            <w:jc w:val="left"/>
            <w:rPr>
              <w:rFonts w:eastAsia="仿宋_GB2312" w:cs="仿宋"/>
              <w:sz w:val="32"/>
              <w:szCs w:val="32"/>
            </w:rPr>
          </w:pPr>
          <w:r>
            <w:fldChar w:fldCharType="begin"/>
          </w:r>
          <w:r>
            <w:instrText xml:space="preserve"> HYPERLINK \l "_Toc15548" </w:instrText>
          </w:r>
          <w:r>
            <w:fldChar w:fldCharType="separate"/>
          </w:r>
          <w:r>
            <w:rPr>
              <w:rFonts w:eastAsia="仿宋_GB2312" w:cs="仿宋"/>
              <w:sz w:val="32"/>
              <w:szCs w:val="32"/>
            </w:rPr>
            <w:t xml:space="preserve">6.4 </w:t>
          </w:r>
          <w:r>
            <w:rPr>
              <w:rFonts w:hint="eastAsia" w:eastAsia="仿宋_GB2312" w:cs="仿宋"/>
              <w:sz w:val="32"/>
              <w:szCs w:val="32"/>
            </w:rPr>
            <w:t>应急资金</w:t>
          </w:r>
          <w:r>
            <w:rPr>
              <w:rFonts w:eastAsia="仿宋_GB2312" w:cs="仿宋"/>
              <w:sz w:val="32"/>
              <w:szCs w:val="32"/>
            </w:rPr>
            <w:t>保障</w:t>
          </w:r>
          <w:r>
            <w:rPr>
              <w:rFonts w:hint="eastAsia" w:eastAsia="仿宋_GB2312" w:cs="仿宋"/>
              <w:sz w:val="32"/>
              <w:szCs w:val="32"/>
            </w:rPr>
            <w:t>...............................................................2</w:t>
          </w:r>
          <w:r>
            <w:rPr>
              <w:rFonts w:hint="eastAsia" w:eastAsia="仿宋_GB2312" w:cs="仿宋"/>
              <w:sz w:val="32"/>
              <w:szCs w:val="32"/>
            </w:rPr>
            <w:fldChar w:fldCharType="end"/>
          </w:r>
          <w:r>
            <w:rPr>
              <w:rFonts w:hint="eastAsia" w:eastAsia="仿宋_GB2312" w:cs="仿宋"/>
              <w:sz w:val="32"/>
              <w:szCs w:val="32"/>
            </w:rPr>
            <w:t>8</w:t>
          </w:r>
        </w:p>
        <w:p>
          <w:pPr>
            <w:pStyle w:val="12"/>
            <w:tabs>
              <w:tab w:val="right" w:leader="dot" w:pos="8732"/>
            </w:tabs>
            <w:ind w:left="432"/>
            <w:jc w:val="left"/>
            <w:rPr>
              <w:rFonts w:eastAsia="仿宋_GB2312" w:cs="仿宋"/>
              <w:sz w:val="32"/>
              <w:szCs w:val="32"/>
            </w:rPr>
          </w:pPr>
          <w:r>
            <w:fldChar w:fldCharType="begin"/>
          </w:r>
          <w:r>
            <w:instrText xml:space="preserve"> HYPERLINK \l "_Toc18659" </w:instrText>
          </w:r>
          <w:r>
            <w:fldChar w:fldCharType="separate"/>
          </w:r>
          <w:r>
            <w:rPr>
              <w:rFonts w:hint="eastAsia" w:eastAsia="仿宋_GB2312" w:cs="仿宋"/>
              <w:sz w:val="32"/>
              <w:szCs w:val="32"/>
            </w:rPr>
            <w:t>6.5 交通运输保障...............................................................2</w:t>
          </w:r>
          <w:r>
            <w:rPr>
              <w:rFonts w:hint="eastAsia" w:eastAsia="仿宋_GB2312" w:cs="仿宋"/>
              <w:sz w:val="32"/>
              <w:szCs w:val="32"/>
            </w:rPr>
            <w:fldChar w:fldCharType="end"/>
          </w:r>
          <w:r>
            <w:rPr>
              <w:rFonts w:hint="eastAsia" w:eastAsia="仿宋_GB2312" w:cs="仿宋"/>
              <w:sz w:val="32"/>
              <w:szCs w:val="32"/>
            </w:rPr>
            <w:t>8</w:t>
          </w:r>
        </w:p>
        <w:p>
          <w:pPr>
            <w:pStyle w:val="12"/>
            <w:tabs>
              <w:tab w:val="right" w:leader="dot" w:pos="8732"/>
            </w:tabs>
            <w:ind w:left="432"/>
            <w:jc w:val="left"/>
            <w:rPr>
              <w:rFonts w:eastAsia="仿宋_GB2312" w:cs="仿宋"/>
              <w:sz w:val="32"/>
              <w:szCs w:val="32"/>
            </w:rPr>
          </w:pPr>
          <w:r>
            <w:fldChar w:fldCharType="begin"/>
          </w:r>
          <w:r>
            <w:instrText xml:space="preserve"> HYPERLINK \l "_Toc17928" </w:instrText>
          </w:r>
          <w:r>
            <w:fldChar w:fldCharType="separate"/>
          </w:r>
          <w:r>
            <w:rPr>
              <w:rFonts w:hint="eastAsia" w:eastAsia="仿宋_GB2312" w:cs="仿宋"/>
              <w:sz w:val="32"/>
              <w:szCs w:val="32"/>
            </w:rPr>
            <w:t xml:space="preserve">6.6 </w:t>
          </w:r>
          <w:r>
            <w:rPr>
              <w:rFonts w:eastAsia="仿宋_GB2312" w:cs="仿宋"/>
              <w:sz w:val="32"/>
              <w:szCs w:val="32"/>
            </w:rPr>
            <w:t>医疗救治保障</w:t>
          </w:r>
          <w:r>
            <w:rPr>
              <w:rFonts w:hint="eastAsia" w:eastAsia="仿宋_GB2312" w:cs="仿宋"/>
              <w:sz w:val="32"/>
              <w:szCs w:val="32"/>
            </w:rPr>
            <w:t>...............................................................2</w:t>
          </w:r>
          <w:r>
            <w:rPr>
              <w:rFonts w:hint="eastAsia" w:eastAsia="仿宋_GB2312" w:cs="仿宋"/>
              <w:sz w:val="32"/>
              <w:szCs w:val="32"/>
            </w:rPr>
            <w:fldChar w:fldCharType="end"/>
          </w:r>
          <w:r>
            <w:rPr>
              <w:rFonts w:hint="eastAsia" w:eastAsia="仿宋_GB2312" w:cs="仿宋"/>
              <w:sz w:val="32"/>
              <w:szCs w:val="32"/>
            </w:rPr>
            <w:t>9</w:t>
          </w:r>
        </w:p>
        <w:p>
          <w:pPr>
            <w:pStyle w:val="12"/>
            <w:tabs>
              <w:tab w:val="right" w:leader="dot" w:pos="8732"/>
            </w:tabs>
            <w:ind w:left="432"/>
            <w:jc w:val="left"/>
            <w:rPr>
              <w:rFonts w:eastAsia="仿宋_GB2312" w:cs="仿宋"/>
              <w:sz w:val="32"/>
              <w:szCs w:val="32"/>
            </w:rPr>
          </w:pPr>
          <w:r>
            <w:fldChar w:fldCharType="begin"/>
          </w:r>
          <w:r>
            <w:instrText xml:space="preserve"> HYPERLINK \l "_Toc6205" </w:instrText>
          </w:r>
          <w:r>
            <w:fldChar w:fldCharType="separate"/>
          </w:r>
          <w:r>
            <w:rPr>
              <w:rFonts w:eastAsia="仿宋_GB2312" w:cs="仿宋"/>
              <w:sz w:val="32"/>
              <w:szCs w:val="32"/>
            </w:rPr>
            <w:t xml:space="preserve">6.7 </w:t>
          </w:r>
          <w:r>
            <w:rPr>
              <w:rFonts w:hint="eastAsia" w:eastAsia="仿宋_GB2312" w:cs="仿宋"/>
              <w:sz w:val="32"/>
              <w:szCs w:val="32"/>
            </w:rPr>
            <w:t>治安秩序保障...............................................................2</w:t>
          </w:r>
          <w:r>
            <w:rPr>
              <w:rFonts w:hint="eastAsia" w:eastAsia="仿宋_GB2312" w:cs="仿宋"/>
              <w:sz w:val="32"/>
              <w:szCs w:val="32"/>
            </w:rPr>
            <w:fldChar w:fldCharType="end"/>
          </w:r>
          <w:r>
            <w:rPr>
              <w:rFonts w:hint="eastAsia" w:eastAsia="仿宋_GB2312" w:cs="仿宋"/>
              <w:sz w:val="32"/>
              <w:szCs w:val="32"/>
            </w:rPr>
            <w:t>9</w:t>
          </w:r>
        </w:p>
        <w:p>
          <w:pPr>
            <w:pStyle w:val="12"/>
            <w:tabs>
              <w:tab w:val="right" w:leader="dot" w:pos="8732"/>
            </w:tabs>
            <w:ind w:left="432"/>
            <w:jc w:val="left"/>
            <w:rPr>
              <w:rFonts w:eastAsia="仿宋_GB2312" w:cs="仿宋"/>
              <w:sz w:val="32"/>
              <w:szCs w:val="32"/>
            </w:rPr>
          </w:pPr>
          <w:r>
            <w:fldChar w:fldCharType="begin"/>
          </w:r>
          <w:r>
            <w:instrText xml:space="preserve"> HYPERLINK \l "_Toc31070" </w:instrText>
          </w:r>
          <w:r>
            <w:fldChar w:fldCharType="separate"/>
          </w:r>
          <w:r>
            <w:rPr>
              <w:rFonts w:hint="eastAsia" w:eastAsia="仿宋_GB2312" w:cs="仿宋"/>
              <w:sz w:val="32"/>
              <w:szCs w:val="32"/>
            </w:rPr>
            <w:t xml:space="preserve">6.8 </w:t>
          </w:r>
          <w:r>
            <w:rPr>
              <w:rFonts w:eastAsia="仿宋_GB2312" w:cs="仿宋"/>
              <w:sz w:val="32"/>
              <w:szCs w:val="32"/>
            </w:rPr>
            <w:t>专家技术保障</w:t>
          </w:r>
          <w:r>
            <w:rPr>
              <w:rFonts w:hint="eastAsia" w:eastAsia="仿宋_GB2312" w:cs="仿宋"/>
              <w:sz w:val="32"/>
              <w:szCs w:val="32"/>
            </w:rPr>
            <w:t>...............................................................2</w:t>
          </w:r>
          <w:r>
            <w:rPr>
              <w:rFonts w:hint="eastAsia" w:eastAsia="仿宋_GB2312" w:cs="仿宋"/>
              <w:sz w:val="32"/>
              <w:szCs w:val="32"/>
            </w:rPr>
            <w:fldChar w:fldCharType="end"/>
          </w:r>
          <w:r>
            <w:rPr>
              <w:rFonts w:hint="eastAsia" w:eastAsia="仿宋_GB2312" w:cs="仿宋"/>
              <w:sz w:val="32"/>
              <w:szCs w:val="32"/>
            </w:rPr>
            <w:t>9</w:t>
          </w:r>
        </w:p>
        <w:p>
          <w:pPr>
            <w:pStyle w:val="11"/>
            <w:tabs>
              <w:tab w:val="right" w:leader="dot" w:pos="8732"/>
            </w:tabs>
            <w:jc w:val="left"/>
            <w:rPr>
              <w:rFonts w:eastAsia="仿宋_GB2312" w:cs="仿宋"/>
              <w:sz w:val="32"/>
              <w:szCs w:val="32"/>
            </w:rPr>
          </w:pPr>
          <w:r>
            <w:fldChar w:fldCharType="begin"/>
          </w:r>
          <w:r>
            <w:instrText xml:space="preserve"> HYPERLINK \l "_Toc5341" </w:instrText>
          </w:r>
          <w:r>
            <w:fldChar w:fldCharType="separate"/>
          </w:r>
          <w:r>
            <w:rPr>
              <w:rFonts w:ascii="黑体" w:hAnsi="黑体" w:eastAsia="黑体" w:cs="仿宋"/>
              <w:sz w:val="32"/>
              <w:szCs w:val="32"/>
            </w:rPr>
            <w:t xml:space="preserve">7 </w:t>
          </w:r>
          <w:r>
            <w:rPr>
              <w:rFonts w:hint="eastAsia" w:ascii="黑体" w:hAnsi="黑体" w:eastAsia="黑体" w:cs="仿宋"/>
              <w:sz w:val="32"/>
              <w:szCs w:val="32"/>
            </w:rPr>
            <w:t>预案管理</w:t>
          </w:r>
          <w:r>
            <w:rPr>
              <w:rFonts w:hint="eastAsia" w:eastAsia="仿宋_GB2312" w:cs="仿宋"/>
              <w:sz w:val="32"/>
              <w:szCs w:val="32"/>
            </w:rPr>
            <w:t>...............................................................................2</w:t>
          </w:r>
          <w:r>
            <w:rPr>
              <w:rFonts w:hint="eastAsia" w:eastAsia="仿宋_GB2312" w:cs="仿宋"/>
              <w:sz w:val="32"/>
              <w:szCs w:val="32"/>
            </w:rPr>
            <w:fldChar w:fldCharType="end"/>
          </w:r>
          <w:r>
            <w:rPr>
              <w:rFonts w:hint="eastAsia" w:eastAsia="仿宋_GB2312" w:cs="仿宋"/>
              <w:sz w:val="32"/>
              <w:szCs w:val="32"/>
            </w:rPr>
            <w:t>9</w:t>
          </w:r>
        </w:p>
        <w:p>
          <w:pPr>
            <w:pStyle w:val="12"/>
            <w:tabs>
              <w:tab w:val="right" w:leader="dot" w:pos="8732"/>
            </w:tabs>
            <w:ind w:left="432"/>
            <w:jc w:val="left"/>
            <w:rPr>
              <w:rFonts w:eastAsia="仿宋_GB2312" w:cs="仿宋"/>
              <w:sz w:val="32"/>
              <w:szCs w:val="32"/>
            </w:rPr>
          </w:pPr>
          <w:r>
            <w:fldChar w:fldCharType="begin"/>
          </w:r>
          <w:r>
            <w:instrText xml:space="preserve"> HYPERLINK \l "_Toc15205" </w:instrText>
          </w:r>
          <w:r>
            <w:fldChar w:fldCharType="separate"/>
          </w:r>
          <w:r>
            <w:rPr>
              <w:rFonts w:eastAsia="仿宋_GB2312" w:cs="仿宋"/>
              <w:sz w:val="32"/>
              <w:szCs w:val="32"/>
            </w:rPr>
            <w:t xml:space="preserve">7.1 </w:t>
          </w:r>
          <w:r>
            <w:rPr>
              <w:rFonts w:hint="eastAsia" w:eastAsia="仿宋_GB2312" w:cs="仿宋"/>
              <w:sz w:val="32"/>
              <w:szCs w:val="32"/>
            </w:rPr>
            <w:t>宣教培训.......................................................................2</w:t>
          </w:r>
          <w:r>
            <w:rPr>
              <w:rFonts w:hint="eastAsia" w:eastAsia="仿宋_GB2312" w:cs="仿宋"/>
              <w:sz w:val="32"/>
              <w:szCs w:val="32"/>
            </w:rPr>
            <w:fldChar w:fldCharType="end"/>
          </w:r>
          <w:r>
            <w:rPr>
              <w:rFonts w:hint="eastAsia" w:eastAsia="仿宋_GB2312" w:cs="仿宋"/>
              <w:sz w:val="32"/>
              <w:szCs w:val="32"/>
            </w:rPr>
            <w:t>9</w:t>
          </w:r>
        </w:p>
        <w:p>
          <w:pPr>
            <w:pStyle w:val="12"/>
            <w:tabs>
              <w:tab w:val="right" w:leader="dot" w:pos="8732"/>
            </w:tabs>
            <w:ind w:left="432"/>
            <w:jc w:val="left"/>
            <w:rPr>
              <w:rFonts w:eastAsia="仿宋_GB2312" w:cs="仿宋"/>
              <w:sz w:val="32"/>
              <w:szCs w:val="32"/>
            </w:rPr>
          </w:pPr>
          <w:r>
            <w:fldChar w:fldCharType="begin"/>
          </w:r>
          <w:r>
            <w:instrText xml:space="preserve"> HYPERLINK \l "_Toc14903" </w:instrText>
          </w:r>
          <w:r>
            <w:fldChar w:fldCharType="separate"/>
          </w:r>
          <w:r>
            <w:rPr>
              <w:rFonts w:eastAsia="仿宋_GB2312" w:cs="仿宋"/>
              <w:sz w:val="32"/>
              <w:szCs w:val="32"/>
            </w:rPr>
            <w:t xml:space="preserve">7.2 </w:t>
          </w:r>
          <w:r>
            <w:rPr>
              <w:rFonts w:hint="eastAsia" w:eastAsia="仿宋_GB2312" w:cs="仿宋"/>
              <w:sz w:val="32"/>
              <w:szCs w:val="32"/>
            </w:rPr>
            <w:t>应急演练.......................................................................3</w:t>
          </w:r>
          <w:r>
            <w:rPr>
              <w:rFonts w:hint="eastAsia" w:eastAsia="仿宋_GB2312" w:cs="仿宋"/>
              <w:sz w:val="32"/>
              <w:szCs w:val="32"/>
            </w:rPr>
            <w:fldChar w:fldCharType="end"/>
          </w:r>
          <w:r>
            <w:rPr>
              <w:rFonts w:hint="eastAsia" w:eastAsia="仿宋_GB2312" w:cs="仿宋"/>
              <w:sz w:val="32"/>
              <w:szCs w:val="32"/>
            </w:rPr>
            <w:t>0</w:t>
          </w:r>
        </w:p>
        <w:p>
          <w:pPr>
            <w:pStyle w:val="12"/>
            <w:tabs>
              <w:tab w:val="right" w:leader="dot" w:pos="8732"/>
            </w:tabs>
            <w:ind w:left="432"/>
            <w:jc w:val="left"/>
            <w:rPr>
              <w:rFonts w:eastAsia="仿宋_GB2312" w:cs="仿宋"/>
              <w:sz w:val="32"/>
              <w:szCs w:val="32"/>
            </w:rPr>
          </w:pPr>
          <w:r>
            <w:fldChar w:fldCharType="begin"/>
          </w:r>
          <w:r>
            <w:instrText xml:space="preserve"> HYPERLINK \l "_Toc9074" </w:instrText>
          </w:r>
          <w:r>
            <w:fldChar w:fldCharType="separate"/>
          </w:r>
          <w:r>
            <w:rPr>
              <w:rFonts w:eastAsia="仿宋_GB2312" w:cs="仿宋"/>
              <w:sz w:val="32"/>
              <w:szCs w:val="32"/>
            </w:rPr>
            <w:t xml:space="preserve">7.3 </w:t>
          </w:r>
          <w:r>
            <w:rPr>
              <w:rFonts w:hint="eastAsia" w:eastAsia="仿宋_GB2312" w:cs="仿宋"/>
              <w:sz w:val="32"/>
              <w:szCs w:val="32"/>
            </w:rPr>
            <w:t>审批与备案...................................................................3</w:t>
          </w:r>
          <w:r>
            <w:rPr>
              <w:rFonts w:hint="eastAsia" w:eastAsia="仿宋_GB2312" w:cs="仿宋"/>
              <w:sz w:val="32"/>
              <w:szCs w:val="32"/>
            </w:rPr>
            <w:fldChar w:fldCharType="end"/>
          </w:r>
          <w:r>
            <w:rPr>
              <w:rFonts w:hint="eastAsia" w:eastAsia="仿宋_GB2312" w:cs="仿宋"/>
              <w:sz w:val="32"/>
              <w:szCs w:val="32"/>
            </w:rPr>
            <w:t>0</w:t>
          </w:r>
        </w:p>
        <w:p>
          <w:pPr>
            <w:pStyle w:val="12"/>
            <w:tabs>
              <w:tab w:val="right" w:leader="dot" w:pos="8732"/>
            </w:tabs>
            <w:ind w:left="432"/>
            <w:jc w:val="left"/>
            <w:rPr>
              <w:rFonts w:eastAsia="仿宋_GB2312" w:cs="仿宋"/>
              <w:sz w:val="32"/>
              <w:szCs w:val="32"/>
            </w:rPr>
          </w:pPr>
          <w:r>
            <w:fldChar w:fldCharType="begin"/>
          </w:r>
          <w:r>
            <w:instrText xml:space="preserve"> HYPERLINK \l "_Toc16350" </w:instrText>
          </w:r>
          <w:r>
            <w:fldChar w:fldCharType="separate"/>
          </w:r>
          <w:r>
            <w:rPr>
              <w:rFonts w:eastAsia="仿宋_GB2312" w:cs="仿宋"/>
              <w:sz w:val="32"/>
              <w:szCs w:val="32"/>
            </w:rPr>
            <w:t xml:space="preserve">7.4 </w:t>
          </w:r>
          <w:r>
            <w:rPr>
              <w:rFonts w:hint="eastAsia" w:eastAsia="仿宋_GB2312" w:cs="仿宋"/>
              <w:sz w:val="32"/>
              <w:szCs w:val="32"/>
            </w:rPr>
            <w:t>预案修订.......................................................................3</w:t>
          </w:r>
          <w:r>
            <w:rPr>
              <w:rFonts w:hint="eastAsia" w:eastAsia="仿宋_GB2312" w:cs="仿宋"/>
              <w:sz w:val="32"/>
              <w:szCs w:val="32"/>
            </w:rPr>
            <w:fldChar w:fldCharType="end"/>
          </w:r>
          <w:r>
            <w:rPr>
              <w:rFonts w:hint="eastAsia" w:eastAsia="仿宋_GB2312" w:cs="仿宋"/>
              <w:sz w:val="32"/>
              <w:szCs w:val="32"/>
            </w:rPr>
            <w:t>1</w:t>
          </w:r>
        </w:p>
        <w:p>
          <w:pPr>
            <w:pStyle w:val="11"/>
            <w:tabs>
              <w:tab w:val="right" w:leader="dot" w:pos="8732"/>
            </w:tabs>
            <w:jc w:val="left"/>
            <w:rPr>
              <w:rFonts w:eastAsia="仿宋_GB2312" w:cs="仿宋"/>
              <w:sz w:val="32"/>
              <w:szCs w:val="32"/>
            </w:rPr>
            <w:sectPr>
              <w:pgSz w:w="11906" w:h="16838"/>
              <w:pgMar w:top="2098" w:right="1587" w:bottom="1984" w:left="1587" w:header="1134" w:footer="1134" w:gutter="0"/>
              <w:cols w:space="0" w:num="1"/>
              <w:docGrid w:type="linesAndChars" w:linePitch="589" w:charSpace="1228"/>
            </w:sectPr>
          </w:pPr>
        </w:p>
        <w:p>
          <w:pPr>
            <w:pStyle w:val="11"/>
            <w:tabs>
              <w:tab w:val="right" w:leader="dot" w:pos="8732"/>
            </w:tabs>
            <w:jc w:val="left"/>
            <w:rPr>
              <w:rFonts w:eastAsia="仿宋_GB2312" w:cs="仿宋"/>
              <w:sz w:val="32"/>
              <w:szCs w:val="32"/>
            </w:rPr>
          </w:pPr>
          <w:r>
            <w:fldChar w:fldCharType="begin"/>
          </w:r>
          <w:r>
            <w:instrText xml:space="preserve"> HYPERLINK \l "_Toc1710" </w:instrText>
          </w:r>
          <w:r>
            <w:fldChar w:fldCharType="separate"/>
          </w:r>
          <w:r>
            <w:rPr>
              <w:rFonts w:ascii="黑体" w:hAnsi="黑体" w:eastAsia="黑体" w:cs="仿宋"/>
              <w:sz w:val="32"/>
              <w:szCs w:val="32"/>
            </w:rPr>
            <w:t xml:space="preserve">8 </w:t>
          </w:r>
          <w:r>
            <w:rPr>
              <w:rFonts w:hint="eastAsia" w:ascii="黑体" w:hAnsi="黑体" w:eastAsia="黑体" w:cs="仿宋"/>
              <w:sz w:val="32"/>
              <w:szCs w:val="32"/>
            </w:rPr>
            <w:t>奖励与责任追究</w:t>
          </w:r>
          <w:r>
            <w:rPr>
              <w:rFonts w:hint="eastAsia" w:eastAsia="仿宋_GB2312" w:cs="仿宋"/>
              <w:sz w:val="32"/>
              <w:szCs w:val="32"/>
            </w:rPr>
            <w:t>...................................................................3</w:t>
          </w:r>
          <w:r>
            <w:rPr>
              <w:rFonts w:hint="eastAsia" w:eastAsia="仿宋_GB2312" w:cs="仿宋"/>
              <w:sz w:val="32"/>
              <w:szCs w:val="32"/>
            </w:rPr>
            <w:fldChar w:fldCharType="end"/>
          </w:r>
          <w:r>
            <w:rPr>
              <w:rFonts w:hint="eastAsia" w:eastAsia="仿宋_GB2312" w:cs="仿宋"/>
              <w:sz w:val="32"/>
              <w:szCs w:val="32"/>
            </w:rPr>
            <w:t>1</w:t>
          </w:r>
        </w:p>
        <w:p>
          <w:pPr>
            <w:pStyle w:val="11"/>
            <w:tabs>
              <w:tab w:val="right" w:leader="dot" w:pos="8732"/>
            </w:tabs>
            <w:jc w:val="left"/>
            <w:rPr>
              <w:rFonts w:eastAsia="仿宋_GB2312" w:cs="仿宋"/>
              <w:sz w:val="32"/>
              <w:szCs w:val="32"/>
            </w:rPr>
          </w:pPr>
          <w:r>
            <w:fldChar w:fldCharType="begin"/>
          </w:r>
          <w:r>
            <w:instrText xml:space="preserve"> HYPERLINK \l "_Toc12463" </w:instrText>
          </w:r>
          <w:r>
            <w:fldChar w:fldCharType="separate"/>
          </w:r>
          <w:r>
            <w:rPr>
              <w:rFonts w:ascii="黑体" w:hAnsi="黑体" w:eastAsia="黑体" w:cs="仿宋"/>
              <w:sz w:val="32"/>
              <w:szCs w:val="32"/>
            </w:rPr>
            <w:t xml:space="preserve">9 </w:t>
          </w:r>
          <w:r>
            <w:rPr>
              <w:rFonts w:hint="eastAsia" w:ascii="黑体" w:hAnsi="黑体" w:eastAsia="黑体" w:cs="仿宋"/>
              <w:sz w:val="32"/>
              <w:szCs w:val="32"/>
            </w:rPr>
            <w:t>附则</w:t>
          </w:r>
          <w:r>
            <w:rPr>
              <w:rFonts w:hint="eastAsia" w:eastAsia="仿宋_GB2312" w:cs="仿宋"/>
              <w:sz w:val="32"/>
              <w:szCs w:val="32"/>
            </w:rPr>
            <w:t>.......................................................................................3</w:t>
          </w:r>
          <w:r>
            <w:rPr>
              <w:rFonts w:hint="eastAsia" w:eastAsia="仿宋_GB2312" w:cs="仿宋"/>
              <w:sz w:val="32"/>
              <w:szCs w:val="32"/>
            </w:rPr>
            <w:fldChar w:fldCharType="end"/>
          </w:r>
          <w:r>
            <w:rPr>
              <w:rFonts w:hint="eastAsia" w:eastAsia="仿宋_GB2312" w:cs="仿宋"/>
              <w:sz w:val="32"/>
              <w:szCs w:val="32"/>
            </w:rPr>
            <w:t>1</w:t>
          </w:r>
        </w:p>
        <w:p>
          <w:pPr>
            <w:pStyle w:val="12"/>
            <w:tabs>
              <w:tab w:val="right" w:leader="dot" w:pos="8732"/>
            </w:tabs>
            <w:ind w:left="432"/>
            <w:jc w:val="left"/>
            <w:rPr>
              <w:rFonts w:eastAsia="仿宋_GB2312" w:cs="仿宋"/>
              <w:sz w:val="32"/>
              <w:szCs w:val="32"/>
            </w:rPr>
          </w:pPr>
          <w:r>
            <w:fldChar w:fldCharType="begin"/>
          </w:r>
          <w:r>
            <w:instrText xml:space="preserve"> HYPERLINK \l "_Toc32585" </w:instrText>
          </w:r>
          <w:r>
            <w:fldChar w:fldCharType="separate"/>
          </w:r>
          <w:r>
            <w:rPr>
              <w:rFonts w:eastAsia="仿宋_GB2312" w:cs="仿宋"/>
              <w:sz w:val="32"/>
              <w:szCs w:val="32"/>
            </w:rPr>
            <w:t xml:space="preserve">9.1 </w:t>
          </w:r>
          <w:r>
            <w:rPr>
              <w:rFonts w:hint="eastAsia" w:eastAsia="仿宋_GB2312" w:cs="仿宋"/>
              <w:sz w:val="32"/>
              <w:szCs w:val="32"/>
            </w:rPr>
            <w:t>说明...............................................................................3</w:t>
          </w:r>
          <w:r>
            <w:rPr>
              <w:rFonts w:hint="eastAsia" w:eastAsia="仿宋_GB2312" w:cs="仿宋"/>
              <w:sz w:val="32"/>
              <w:szCs w:val="32"/>
            </w:rPr>
            <w:fldChar w:fldCharType="end"/>
          </w:r>
          <w:r>
            <w:rPr>
              <w:rFonts w:hint="eastAsia" w:eastAsia="仿宋_GB2312" w:cs="仿宋"/>
              <w:sz w:val="32"/>
              <w:szCs w:val="32"/>
            </w:rPr>
            <w:t>2</w:t>
          </w:r>
        </w:p>
        <w:p>
          <w:pPr>
            <w:pStyle w:val="12"/>
            <w:tabs>
              <w:tab w:val="right" w:leader="dot" w:pos="8732"/>
            </w:tabs>
            <w:ind w:left="432"/>
            <w:jc w:val="left"/>
            <w:rPr>
              <w:rFonts w:eastAsia="仿宋_GB2312" w:cs="仿宋"/>
              <w:sz w:val="32"/>
              <w:szCs w:val="32"/>
            </w:rPr>
          </w:pPr>
          <w:r>
            <w:fldChar w:fldCharType="begin"/>
          </w:r>
          <w:r>
            <w:instrText xml:space="preserve"> HYPERLINK \l "_Toc5592" </w:instrText>
          </w:r>
          <w:r>
            <w:fldChar w:fldCharType="separate"/>
          </w:r>
          <w:r>
            <w:rPr>
              <w:rFonts w:eastAsia="仿宋_GB2312" w:cs="仿宋"/>
              <w:sz w:val="32"/>
              <w:szCs w:val="32"/>
            </w:rPr>
            <w:t xml:space="preserve">9.2 </w:t>
          </w:r>
          <w:r>
            <w:rPr>
              <w:rFonts w:hint="eastAsia" w:eastAsia="仿宋_GB2312" w:cs="仿宋"/>
              <w:sz w:val="32"/>
              <w:szCs w:val="32"/>
            </w:rPr>
            <w:t>预案解释.......................................................................</w:t>
          </w:r>
          <w:r>
            <w:rPr>
              <w:rFonts w:hint="eastAsia" w:eastAsia="仿宋_GB2312" w:cs="仿宋"/>
              <w:sz w:val="32"/>
              <w:szCs w:val="32"/>
            </w:rPr>
            <w:fldChar w:fldCharType="begin"/>
          </w:r>
          <w:r>
            <w:rPr>
              <w:rFonts w:hint="eastAsia" w:eastAsia="仿宋_GB2312" w:cs="仿宋"/>
              <w:sz w:val="32"/>
              <w:szCs w:val="32"/>
            </w:rPr>
            <w:instrText xml:space="preserve"> PAGEREF _Toc5592 \h </w:instrText>
          </w:r>
          <w:r>
            <w:rPr>
              <w:rFonts w:hint="eastAsia" w:eastAsia="仿宋_GB2312" w:cs="仿宋"/>
              <w:sz w:val="32"/>
              <w:szCs w:val="32"/>
            </w:rPr>
            <w:fldChar w:fldCharType="separate"/>
          </w:r>
          <w:r>
            <w:rPr>
              <w:rFonts w:eastAsia="仿宋_GB2312" w:cs="仿宋"/>
              <w:sz w:val="32"/>
              <w:szCs w:val="32"/>
            </w:rPr>
            <w:t>32</w:t>
          </w:r>
          <w:r>
            <w:rPr>
              <w:rFonts w:hint="eastAsia" w:eastAsia="仿宋_GB2312" w:cs="仿宋"/>
              <w:sz w:val="32"/>
              <w:szCs w:val="32"/>
            </w:rPr>
            <w:fldChar w:fldCharType="end"/>
          </w:r>
          <w:r>
            <w:rPr>
              <w:rFonts w:hint="eastAsia" w:eastAsia="仿宋_GB2312" w:cs="仿宋"/>
              <w:sz w:val="32"/>
              <w:szCs w:val="32"/>
            </w:rPr>
            <w:fldChar w:fldCharType="end"/>
          </w:r>
        </w:p>
        <w:p>
          <w:pPr>
            <w:pStyle w:val="12"/>
            <w:tabs>
              <w:tab w:val="right" w:leader="dot" w:pos="8732"/>
            </w:tabs>
            <w:ind w:left="432"/>
            <w:jc w:val="left"/>
            <w:rPr>
              <w:rFonts w:eastAsia="仿宋_GB2312" w:cs="仿宋"/>
              <w:sz w:val="32"/>
              <w:szCs w:val="32"/>
            </w:rPr>
          </w:pPr>
          <w:r>
            <w:fldChar w:fldCharType="begin"/>
          </w:r>
          <w:r>
            <w:instrText xml:space="preserve"> HYPERLINK \l "_Toc21129" </w:instrText>
          </w:r>
          <w:r>
            <w:fldChar w:fldCharType="separate"/>
          </w:r>
          <w:r>
            <w:rPr>
              <w:rFonts w:eastAsia="仿宋_GB2312" w:cs="仿宋"/>
              <w:sz w:val="32"/>
              <w:szCs w:val="32"/>
            </w:rPr>
            <w:t xml:space="preserve">9.3 </w:t>
          </w:r>
          <w:r>
            <w:rPr>
              <w:rFonts w:hint="eastAsia" w:eastAsia="仿宋_GB2312" w:cs="仿宋"/>
              <w:sz w:val="32"/>
              <w:szCs w:val="32"/>
            </w:rPr>
            <w:t>预案发布.......................................................................</w:t>
          </w:r>
          <w:r>
            <w:rPr>
              <w:rFonts w:hint="eastAsia" w:eastAsia="仿宋_GB2312" w:cs="仿宋"/>
              <w:sz w:val="32"/>
              <w:szCs w:val="32"/>
            </w:rPr>
            <w:fldChar w:fldCharType="begin"/>
          </w:r>
          <w:r>
            <w:rPr>
              <w:rFonts w:hint="eastAsia" w:eastAsia="仿宋_GB2312" w:cs="仿宋"/>
              <w:sz w:val="32"/>
              <w:szCs w:val="32"/>
            </w:rPr>
            <w:instrText xml:space="preserve"> PAGEREF _Toc21129 \h </w:instrText>
          </w:r>
          <w:r>
            <w:rPr>
              <w:rFonts w:hint="eastAsia" w:eastAsia="仿宋_GB2312" w:cs="仿宋"/>
              <w:sz w:val="32"/>
              <w:szCs w:val="32"/>
            </w:rPr>
            <w:fldChar w:fldCharType="separate"/>
          </w:r>
          <w:r>
            <w:rPr>
              <w:rFonts w:eastAsia="仿宋_GB2312" w:cs="仿宋"/>
              <w:sz w:val="32"/>
              <w:szCs w:val="32"/>
            </w:rPr>
            <w:t>32</w:t>
          </w:r>
          <w:r>
            <w:rPr>
              <w:rFonts w:hint="eastAsia" w:eastAsia="仿宋_GB2312" w:cs="仿宋"/>
              <w:sz w:val="32"/>
              <w:szCs w:val="32"/>
            </w:rPr>
            <w:fldChar w:fldCharType="end"/>
          </w:r>
          <w:r>
            <w:rPr>
              <w:rFonts w:hint="eastAsia" w:eastAsia="仿宋_GB2312" w:cs="仿宋"/>
              <w:sz w:val="32"/>
              <w:szCs w:val="32"/>
            </w:rPr>
            <w:fldChar w:fldCharType="end"/>
          </w:r>
        </w:p>
        <w:p>
          <w:pPr>
            <w:pStyle w:val="19"/>
            <w:rPr>
              <w:rFonts w:eastAsia="仿宋_GB2312" w:cs="仿宋"/>
              <w:b/>
              <w:bCs/>
              <w:sz w:val="32"/>
              <w:szCs w:val="32"/>
            </w:rPr>
          </w:pPr>
          <w:r>
            <w:rPr>
              <w:rFonts w:hint="eastAsia" w:ascii="仿宋" w:hAnsi="仿宋" w:eastAsia="仿宋" w:cs="仿宋"/>
              <w:szCs w:val="32"/>
            </w:rPr>
            <w:fldChar w:fldCharType="end"/>
          </w:r>
        </w:p>
      </w:sdtContent>
    </w:sdt>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sectPr>
          <w:footerReference r:id="rId4" w:type="default"/>
          <w:pgSz w:w="11906" w:h="16838"/>
          <w:pgMar w:top="2098" w:right="1587" w:bottom="1984" w:left="1587" w:header="1134" w:footer="1134" w:gutter="0"/>
          <w:cols w:space="0" w:num="1"/>
          <w:docGrid w:type="linesAndChars" w:linePitch="589" w:charSpace="1228"/>
        </w:sectPr>
      </w:pPr>
    </w:p>
    <w:p>
      <w:pPr>
        <w:pStyle w:val="19"/>
      </w:pPr>
    </w:p>
    <w:p>
      <w:pPr>
        <w:pStyle w:val="19"/>
      </w:pPr>
      <w:r>
        <w:rPr>
          <w:rFonts w:hint="eastAsia"/>
        </w:rPr>
        <w:t>西安市雁塔区集中供热事故应急预案</w:t>
      </w:r>
    </w:p>
    <w:p/>
    <w:p>
      <w:pPr>
        <w:pStyle w:val="3"/>
        <w:numPr>
          <w:ilvl w:val="0"/>
          <w:numId w:val="0"/>
        </w:numPr>
        <w:ind w:left="650"/>
        <w:rPr>
          <w:rFonts w:cs="Times New Roman"/>
          <w:kern w:val="2"/>
          <w:sz w:val="32"/>
          <w:szCs w:val="22"/>
        </w:rPr>
      </w:pPr>
      <w:bookmarkStart w:id="6" w:name="_Toc3443"/>
      <w:bookmarkStart w:id="7" w:name="_Toc26563"/>
      <w:r>
        <w:rPr>
          <w:rFonts w:hint="eastAsia" w:cs="Times New Roman"/>
          <w:kern w:val="2"/>
          <w:sz w:val="32"/>
          <w:szCs w:val="22"/>
        </w:rPr>
        <w:t>1总则</w:t>
      </w:r>
      <w:bookmarkEnd w:id="6"/>
      <w:bookmarkEnd w:id="7"/>
    </w:p>
    <w:p>
      <w:pPr>
        <w:adjustRightInd w:val="0"/>
        <w:snapToGrid w:val="0"/>
        <w:spacing w:line="560" w:lineRule="exact"/>
        <w:ind w:firstLine="643" w:firstLineChars="200"/>
        <w:rPr>
          <w:rFonts w:ascii="仿宋_GB2312" w:eastAsia="仿宋_GB2312"/>
          <w:b/>
          <w:sz w:val="32"/>
          <w:szCs w:val="22"/>
        </w:rPr>
      </w:pPr>
      <w:bookmarkStart w:id="8" w:name="_Toc17958"/>
      <w:bookmarkStart w:id="9" w:name="_Toc25663"/>
      <w:r>
        <w:rPr>
          <w:rFonts w:eastAsia="仿宋_GB2312"/>
          <w:b/>
          <w:sz w:val="32"/>
          <w:szCs w:val="22"/>
        </w:rPr>
        <w:t>1.1</w:t>
      </w:r>
      <w:r>
        <w:rPr>
          <w:rFonts w:hint="eastAsia" w:ascii="仿宋_GB2312" w:eastAsia="仿宋_GB2312"/>
          <w:b/>
          <w:sz w:val="32"/>
          <w:szCs w:val="22"/>
        </w:rPr>
        <w:t>编制目的</w:t>
      </w:r>
      <w:bookmarkEnd w:id="8"/>
      <w:bookmarkEnd w:id="9"/>
    </w:p>
    <w:p>
      <w:pPr>
        <w:adjustRightInd w:val="0"/>
        <w:snapToGrid w:val="0"/>
        <w:spacing w:line="560" w:lineRule="exact"/>
        <w:ind w:firstLine="640" w:firstLineChars="200"/>
        <w:rPr>
          <w:rFonts w:eastAsia="仿宋_GB2312"/>
          <w:sz w:val="32"/>
          <w:szCs w:val="22"/>
        </w:rPr>
      </w:pPr>
      <w:r>
        <w:rPr>
          <w:rFonts w:hint="eastAsia" w:eastAsia="仿宋_GB2312"/>
          <w:sz w:val="32"/>
          <w:szCs w:val="22"/>
        </w:rPr>
        <w:t>有效应对集中供热事故，最大程度减少集中供热事故及其造成的损害，保护人民生命和财产安全，促进经济社会持续健康发展。</w:t>
      </w:r>
    </w:p>
    <w:p>
      <w:pPr>
        <w:adjustRightInd w:val="0"/>
        <w:snapToGrid w:val="0"/>
        <w:spacing w:line="560" w:lineRule="exact"/>
        <w:ind w:firstLine="643" w:firstLineChars="200"/>
        <w:rPr>
          <w:rFonts w:ascii="仿宋_GB2312" w:eastAsia="仿宋_GB2312"/>
          <w:b/>
          <w:sz w:val="32"/>
          <w:szCs w:val="22"/>
        </w:rPr>
      </w:pPr>
      <w:bookmarkStart w:id="10" w:name="_Toc31832"/>
      <w:bookmarkStart w:id="11" w:name="_Toc3252"/>
      <w:r>
        <w:rPr>
          <w:rFonts w:hint="eastAsia" w:eastAsia="仿宋_GB2312"/>
          <w:b/>
          <w:sz w:val="32"/>
          <w:szCs w:val="22"/>
        </w:rPr>
        <w:t>1.2</w:t>
      </w:r>
      <w:r>
        <w:rPr>
          <w:rFonts w:hint="eastAsia" w:ascii="仿宋_GB2312" w:eastAsia="仿宋_GB2312"/>
          <w:b/>
          <w:sz w:val="32"/>
          <w:szCs w:val="22"/>
        </w:rPr>
        <w:t>编制依据</w:t>
      </w:r>
      <w:bookmarkEnd w:id="10"/>
      <w:bookmarkEnd w:id="11"/>
    </w:p>
    <w:p>
      <w:pPr>
        <w:adjustRightInd w:val="0"/>
        <w:snapToGrid w:val="0"/>
        <w:spacing w:line="560" w:lineRule="exact"/>
        <w:ind w:firstLine="640" w:firstLineChars="200"/>
        <w:rPr>
          <w:rFonts w:eastAsia="仿宋_GB2312"/>
          <w:sz w:val="32"/>
          <w:szCs w:val="22"/>
        </w:rPr>
      </w:pPr>
      <w:r>
        <w:rPr>
          <w:rFonts w:eastAsia="仿宋_GB2312"/>
          <w:sz w:val="32"/>
          <w:szCs w:val="22"/>
        </w:rPr>
        <w:t>依据《中华人民共和国突发事件应对法》《中华人民共和国安全生产法》《西安市集中供热条例》《</w:t>
      </w:r>
      <w:r>
        <w:rPr>
          <w:rFonts w:hint="eastAsia" w:eastAsia="仿宋_GB2312"/>
          <w:sz w:val="32"/>
          <w:szCs w:val="22"/>
        </w:rPr>
        <w:t>&lt;</w:t>
      </w:r>
      <w:r>
        <w:rPr>
          <w:rFonts w:eastAsia="仿宋_GB2312"/>
          <w:sz w:val="32"/>
          <w:szCs w:val="22"/>
        </w:rPr>
        <w:t>西安市集中供热条例</w:t>
      </w:r>
      <w:r>
        <w:rPr>
          <w:rFonts w:hint="eastAsia" w:eastAsia="仿宋_GB2312"/>
          <w:sz w:val="32"/>
          <w:szCs w:val="22"/>
        </w:rPr>
        <w:t>&gt;</w:t>
      </w:r>
      <w:r>
        <w:rPr>
          <w:rFonts w:eastAsia="仿宋_GB2312"/>
          <w:sz w:val="32"/>
          <w:szCs w:val="22"/>
        </w:rPr>
        <w:t>实施细则》《西安市应急预案管理办法》《西安市突发事件应急指挥与处置管理办法》《</w:t>
      </w:r>
      <w:r>
        <w:rPr>
          <w:rFonts w:hint="eastAsia" w:eastAsia="仿宋_GB2312"/>
          <w:sz w:val="32"/>
          <w:szCs w:val="22"/>
        </w:rPr>
        <w:t>西安市</w:t>
      </w:r>
      <w:r>
        <w:rPr>
          <w:rFonts w:eastAsia="仿宋_GB2312"/>
          <w:sz w:val="32"/>
          <w:szCs w:val="22"/>
        </w:rPr>
        <w:t>突发事件总体应急预案》</w:t>
      </w:r>
      <w:r>
        <w:rPr>
          <w:rFonts w:hint="eastAsia" w:eastAsia="仿宋_GB2312"/>
          <w:sz w:val="32"/>
          <w:szCs w:val="22"/>
        </w:rPr>
        <w:t>《西安市集中供热事故应急预案》等有关法律、法规、规章、相关文件规定及《雁塔区集中供热事故风险分析报告》《雁塔区集中供热事故应急资源调查报告》制定本预案。</w:t>
      </w:r>
    </w:p>
    <w:p>
      <w:pPr>
        <w:adjustRightInd w:val="0"/>
        <w:snapToGrid w:val="0"/>
        <w:spacing w:line="560" w:lineRule="exact"/>
        <w:ind w:firstLine="643" w:firstLineChars="200"/>
        <w:rPr>
          <w:rFonts w:ascii="仿宋_GB2312" w:eastAsia="仿宋_GB2312"/>
          <w:b/>
          <w:sz w:val="32"/>
          <w:szCs w:val="22"/>
        </w:rPr>
      </w:pPr>
      <w:bookmarkStart w:id="12" w:name="_Toc28581"/>
      <w:bookmarkStart w:id="13" w:name="_Toc13875"/>
      <w:r>
        <w:rPr>
          <w:rFonts w:hint="eastAsia" w:eastAsia="仿宋_GB2312"/>
          <w:b/>
          <w:sz w:val="32"/>
          <w:szCs w:val="22"/>
        </w:rPr>
        <w:t>1.3</w:t>
      </w:r>
      <w:r>
        <w:rPr>
          <w:rFonts w:hint="eastAsia" w:ascii="仿宋_GB2312" w:eastAsia="仿宋_GB2312"/>
          <w:b/>
          <w:sz w:val="32"/>
          <w:szCs w:val="22"/>
        </w:rPr>
        <w:t>适用范围</w:t>
      </w:r>
      <w:bookmarkEnd w:id="12"/>
      <w:bookmarkEnd w:id="13"/>
    </w:p>
    <w:p>
      <w:pPr>
        <w:adjustRightInd w:val="0"/>
        <w:snapToGrid w:val="0"/>
        <w:spacing w:line="560" w:lineRule="exact"/>
        <w:ind w:firstLine="640" w:firstLineChars="200"/>
        <w:rPr>
          <w:rFonts w:eastAsia="仿宋_GB2312"/>
          <w:sz w:val="32"/>
          <w:szCs w:val="22"/>
        </w:rPr>
      </w:pPr>
      <w:r>
        <w:rPr>
          <w:rFonts w:eastAsia="仿宋_GB2312"/>
          <w:sz w:val="32"/>
          <w:szCs w:val="22"/>
        </w:rPr>
        <w:t>本预案适用于</w:t>
      </w:r>
      <w:r>
        <w:rPr>
          <w:rFonts w:hint="eastAsia" w:eastAsia="仿宋_GB2312"/>
          <w:sz w:val="32"/>
          <w:szCs w:val="22"/>
        </w:rPr>
        <w:t>西安市雁塔区</w:t>
      </w:r>
      <w:r>
        <w:rPr>
          <w:rFonts w:eastAsia="仿宋_GB2312"/>
          <w:sz w:val="32"/>
          <w:szCs w:val="22"/>
        </w:rPr>
        <w:t>管辖范围内因下列原因造成停热对城市居民生活用热无法保障或造成严重社会影响的</w:t>
      </w:r>
      <w:r>
        <w:rPr>
          <w:rFonts w:hint="eastAsia" w:eastAsia="仿宋_GB2312"/>
          <w:sz w:val="32"/>
          <w:szCs w:val="22"/>
        </w:rPr>
        <w:t>集中供热突发事件</w:t>
      </w:r>
      <w:r>
        <w:rPr>
          <w:rFonts w:eastAsia="仿宋_GB2312"/>
          <w:sz w:val="32"/>
          <w:szCs w:val="22"/>
        </w:rPr>
        <w:t>的应急处置工作：人为破坏、自然灾害等不可抗力造成</w:t>
      </w:r>
      <w:r>
        <w:rPr>
          <w:rFonts w:hint="eastAsia" w:eastAsia="仿宋_GB2312"/>
          <w:sz w:val="32"/>
          <w:szCs w:val="22"/>
        </w:rPr>
        <w:t>集中</w:t>
      </w:r>
      <w:r>
        <w:rPr>
          <w:rFonts w:eastAsia="仿宋_GB2312"/>
          <w:sz w:val="32"/>
          <w:szCs w:val="22"/>
        </w:rPr>
        <w:t>供热</w:t>
      </w:r>
      <w:r>
        <w:rPr>
          <w:rFonts w:hint="eastAsia" w:eastAsia="仿宋_GB2312"/>
          <w:sz w:val="32"/>
          <w:szCs w:val="22"/>
        </w:rPr>
        <w:t>事故</w:t>
      </w:r>
      <w:r>
        <w:rPr>
          <w:rFonts w:eastAsia="仿宋_GB2312"/>
          <w:sz w:val="32"/>
          <w:szCs w:val="22"/>
        </w:rPr>
        <w:t>或供热设施严重损坏而停热；供热弃供弃管、供热设施设备、供热管网及附件故障造成停热；供热用</w:t>
      </w:r>
      <w:r>
        <w:rPr>
          <w:rFonts w:hint="eastAsia" w:eastAsia="仿宋_GB2312"/>
          <w:sz w:val="32"/>
          <w:szCs w:val="22"/>
        </w:rPr>
        <w:t>气</w:t>
      </w:r>
      <w:r>
        <w:rPr>
          <w:rFonts w:eastAsia="仿宋_GB2312"/>
          <w:sz w:val="32"/>
          <w:szCs w:val="22"/>
        </w:rPr>
        <w:t>、水、电等原材料短缺及自然灾害等不可抗力因素造成停热。</w:t>
      </w:r>
    </w:p>
    <w:p>
      <w:pPr>
        <w:adjustRightInd w:val="0"/>
        <w:snapToGrid w:val="0"/>
        <w:spacing w:line="560" w:lineRule="exact"/>
        <w:ind w:firstLine="643" w:firstLineChars="200"/>
        <w:rPr>
          <w:rFonts w:ascii="仿宋_GB2312" w:eastAsia="仿宋_GB2312"/>
          <w:b/>
          <w:sz w:val="32"/>
          <w:szCs w:val="22"/>
        </w:rPr>
      </w:pPr>
      <w:bookmarkStart w:id="14" w:name="_Toc6723"/>
      <w:bookmarkStart w:id="15" w:name="_Toc5328"/>
      <w:r>
        <w:rPr>
          <w:rFonts w:hint="eastAsia" w:eastAsia="仿宋_GB2312"/>
          <w:b/>
          <w:sz w:val="32"/>
          <w:szCs w:val="22"/>
        </w:rPr>
        <w:t>1.4</w:t>
      </w:r>
      <w:r>
        <w:rPr>
          <w:rFonts w:hint="eastAsia" w:ascii="仿宋_GB2312" w:eastAsia="仿宋_GB2312"/>
          <w:b/>
          <w:sz w:val="32"/>
          <w:szCs w:val="22"/>
        </w:rPr>
        <w:t>工作原则</w:t>
      </w:r>
      <w:bookmarkEnd w:id="14"/>
      <w:bookmarkEnd w:id="15"/>
    </w:p>
    <w:p>
      <w:pPr>
        <w:adjustRightInd w:val="0"/>
        <w:snapToGrid w:val="0"/>
        <w:spacing w:line="560" w:lineRule="exact"/>
        <w:ind w:firstLine="643" w:firstLineChars="200"/>
        <w:rPr>
          <w:rFonts w:eastAsia="仿宋_GB2312"/>
          <w:sz w:val="32"/>
          <w:szCs w:val="22"/>
        </w:rPr>
      </w:pPr>
      <w:r>
        <w:rPr>
          <w:rFonts w:hint="eastAsia" w:eastAsia="仿宋_GB2312"/>
          <w:b/>
          <w:sz w:val="32"/>
          <w:szCs w:val="22"/>
        </w:rPr>
        <w:t>1.4.1</w:t>
      </w:r>
      <w:r>
        <w:rPr>
          <w:rFonts w:hint="eastAsia" w:ascii="仿宋_GB2312" w:eastAsia="仿宋_GB2312"/>
          <w:b/>
          <w:sz w:val="32"/>
          <w:szCs w:val="22"/>
        </w:rPr>
        <w:t>人民至上、生命至上</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集中供热事故应急处置工作立足于保证人民的生命安全和身体健康，把安全防护作为应急处置工作的首要保障，坚持“人民至上、生命至上”。</w:t>
      </w:r>
    </w:p>
    <w:p>
      <w:pPr>
        <w:adjustRightInd w:val="0"/>
        <w:snapToGrid w:val="0"/>
        <w:spacing w:line="560" w:lineRule="exact"/>
        <w:ind w:firstLine="643" w:firstLineChars="200"/>
        <w:rPr>
          <w:rFonts w:ascii="仿宋_GB2312" w:eastAsia="仿宋_GB2312"/>
          <w:b/>
          <w:sz w:val="32"/>
          <w:szCs w:val="22"/>
        </w:rPr>
      </w:pPr>
      <w:r>
        <w:rPr>
          <w:rFonts w:hint="eastAsia" w:eastAsia="仿宋_GB2312"/>
          <w:b/>
          <w:sz w:val="32"/>
          <w:szCs w:val="22"/>
        </w:rPr>
        <w:t>1.4.2</w:t>
      </w:r>
      <w:r>
        <w:rPr>
          <w:rFonts w:ascii="仿宋_GB2312" w:eastAsia="仿宋_GB2312"/>
          <w:b/>
          <w:sz w:val="32"/>
          <w:szCs w:val="22"/>
        </w:rPr>
        <w:t>以人为本，保障重点</w:t>
      </w:r>
    </w:p>
    <w:p>
      <w:pPr>
        <w:adjustRightInd w:val="0"/>
        <w:snapToGrid w:val="0"/>
        <w:spacing w:line="560" w:lineRule="exact"/>
        <w:ind w:firstLine="640" w:firstLineChars="200"/>
        <w:rPr>
          <w:rFonts w:eastAsia="仿宋_GB2312"/>
          <w:sz w:val="32"/>
          <w:szCs w:val="22"/>
        </w:rPr>
      </w:pPr>
      <w:r>
        <w:rPr>
          <w:rFonts w:eastAsia="仿宋_GB2312"/>
          <w:sz w:val="32"/>
          <w:szCs w:val="22"/>
        </w:rPr>
        <w:t>发生</w:t>
      </w:r>
      <w:r>
        <w:rPr>
          <w:rFonts w:hint="eastAsia" w:eastAsia="仿宋_GB2312"/>
          <w:sz w:val="32"/>
          <w:szCs w:val="22"/>
        </w:rPr>
        <w:t>集中供热事故</w:t>
      </w:r>
      <w:r>
        <w:rPr>
          <w:rFonts w:eastAsia="仿宋_GB2312"/>
          <w:sz w:val="32"/>
          <w:szCs w:val="22"/>
        </w:rPr>
        <w:t>时，坚持把人民群众的利益放在第一位，在应对和处置</w:t>
      </w:r>
      <w:r>
        <w:rPr>
          <w:rFonts w:hint="eastAsia" w:eastAsia="仿宋_GB2312"/>
          <w:sz w:val="32"/>
          <w:szCs w:val="22"/>
        </w:rPr>
        <w:t>集中供热事故</w:t>
      </w:r>
      <w:r>
        <w:rPr>
          <w:rFonts w:eastAsia="仿宋_GB2312"/>
          <w:sz w:val="32"/>
          <w:szCs w:val="22"/>
        </w:rPr>
        <w:t>时，采取一切措施降低、减轻</w:t>
      </w:r>
      <w:r>
        <w:rPr>
          <w:rFonts w:hint="eastAsia" w:eastAsia="仿宋_GB2312"/>
          <w:sz w:val="32"/>
          <w:szCs w:val="22"/>
        </w:rPr>
        <w:t>集中供热事故</w:t>
      </w:r>
      <w:r>
        <w:rPr>
          <w:rFonts w:eastAsia="仿宋_GB2312"/>
          <w:sz w:val="32"/>
          <w:szCs w:val="22"/>
        </w:rPr>
        <w:t>对人民群众生活产生的影响</w:t>
      </w:r>
      <w:r>
        <w:rPr>
          <w:rFonts w:hint="eastAsia" w:eastAsia="仿宋_GB2312"/>
          <w:sz w:val="32"/>
          <w:szCs w:val="22"/>
        </w:rPr>
        <w:t>；</w:t>
      </w:r>
      <w:r>
        <w:rPr>
          <w:rFonts w:eastAsia="仿宋_GB2312"/>
          <w:sz w:val="32"/>
          <w:szCs w:val="22"/>
        </w:rPr>
        <w:t>同时对可能受影响的重点区域、单位、群体采取必要的保障措施，全力防止</w:t>
      </w:r>
      <w:r>
        <w:rPr>
          <w:rFonts w:hint="eastAsia" w:eastAsia="仿宋_GB2312"/>
          <w:sz w:val="32"/>
          <w:szCs w:val="22"/>
        </w:rPr>
        <w:t>集中供热事故</w:t>
      </w:r>
      <w:r>
        <w:rPr>
          <w:rFonts w:eastAsia="仿宋_GB2312"/>
          <w:sz w:val="32"/>
          <w:szCs w:val="22"/>
        </w:rPr>
        <w:t>引发的次生、衍生事件。</w:t>
      </w:r>
    </w:p>
    <w:p>
      <w:pPr>
        <w:adjustRightInd w:val="0"/>
        <w:snapToGrid w:val="0"/>
        <w:spacing w:line="560" w:lineRule="exact"/>
        <w:ind w:firstLine="643" w:firstLineChars="200"/>
        <w:rPr>
          <w:rFonts w:eastAsia="仿宋_GB2312"/>
          <w:sz w:val="32"/>
          <w:szCs w:val="22"/>
        </w:rPr>
      </w:pPr>
      <w:r>
        <w:rPr>
          <w:rFonts w:hint="eastAsia" w:eastAsia="仿宋_GB2312"/>
          <w:b/>
          <w:sz w:val="32"/>
          <w:szCs w:val="22"/>
        </w:rPr>
        <w:t>1.4.3</w:t>
      </w:r>
      <w:r>
        <w:rPr>
          <w:rFonts w:hint="eastAsia" w:ascii="仿宋_GB2312" w:eastAsia="仿宋_GB2312"/>
          <w:b/>
          <w:sz w:val="32"/>
          <w:szCs w:val="22"/>
        </w:rPr>
        <w:t>资源整合，科学应对</w:t>
      </w:r>
    </w:p>
    <w:p>
      <w:pPr>
        <w:adjustRightInd w:val="0"/>
        <w:snapToGrid w:val="0"/>
        <w:spacing w:line="560" w:lineRule="exact"/>
        <w:ind w:firstLine="640" w:firstLineChars="200"/>
        <w:rPr>
          <w:rFonts w:eastAsia="仿宋_GB2312"/>
          <w:sz w:val="32"/>
          <w:szCs w:val="22"/>
        </w:rPr>
      </w:pPr>
      <w:r>
        <w:rPr>
          <w:rFonts w:eastAsia="仿宋_GB2312"/>
          <w:sz w:val="32"/>
          <w:szCs w:val="22"/>
        </w:rPr>
        <w:t>通过整合</w:t>
      </w:r>
      <w:r>
        <w:rPr>
          <w:rFonts w:hint="eastAsia" w:eastAsia="仿宋_GB2312"/>
          <w:sz w:val="32"/>
          <w:szCs w:val="22"/>
        </w:rPr>
        <w:t>集中供热事故</w:t>
      </w:r>
      <w:r>
        <w:rPr>
          <w:rFonts w:eastAsia="仿宋_GB2312"/>
          <w:sz w:val="32"/>
          <w:szCs w:val="22"/>
        </w:rPr>
        <w:t>的监测和预警信息、应急物资、应急队伍、应急专家，降低应对</w:t>
      </w:r>
      <w:r>
        <w:rPr>
          <w:rFonts w:hint="eastAsia" w:eastAsia="仿宋_GB2312"/>
          <w:sz w:val="32"/>
          <w:szCs w:val="22"/>
        </w:rPr>
        <w:t>集中供热事故</w:t>
      </w:r>
      <w:r>
        <w:rPr>
          <w:rFonts w:eastAsia="仿宋_GB2312"/>
          <w:sz w:val="32"/>
          <w:szCs w:val="22"/>
        </w:rPr>
        <w:t>的成本</w:t>
      </w:r>
      <w:r>
        <w:rPr>
          <w:rFonts w:hint="eastAsia" w:eastAsia="仿宋_GB2312"/>
          <w:sz w:val="32"/>
          <w:szCs w:val="22"/>
        </w:rPr>
        <w:t>；</w:t>
      </w:r>
      <w:r>
        <w:rPr>
          <w:rFonts w:eastAsia="仿宋_GB2312"/>
          <w:sz w:val="32"/>
          <w:szCs w:val="22"/>
        </w:rPr>
        <w:t>充分利用现有资源，制定科学</w:t>
      </w:r>
      <w:r>
        <w:rPr>
          <w:rFonts w:hint="eastAsia" w:eastAsia="仿宋_GB2312"/>
          <w:sz w:val="32"/>
          <w:szCs w:val="22"/>
        </w:rPr>
        <w:t>有效地应对</w:t>
      </w:r>
      <w:r>
        <w:rPr>
          <w:rFonts w:eastAsia="仿宋_GB2312"/>
          <w:sz w:val="32"/>
          <w:szCs w:val="22"/>
        </w:rPr>
        <w:t>机制和处置流程，采用先进的技术和设备，减少应急处置中的消耗和浪费。</w:t>
      </w:r>
    </w:p>
    <w:p>
      <w:pPr>
        <w:adjustRightInd w:val="0"/>
        <w:snapToGrid w:val="0"/>
        <w:spacing w:line="560" w:lineRule="exact"/>
        <w:ind w:firstLine="643" w:firstLineChars="200"/>
        <w:rPr>
          <w:rFonts w:eastAsia="仿宋_GB2312"/>
          <w:sz w:val="32"/>
          <w:szCs w:val="22"/>
        </w:rPr>
      </w:pPr>
      <w:r>
        <w:rPr>
          <w:rFonts w:hint="eastAsia" w:eastAsia="仿宋_GB2312"/>
          <w:b/>
          <w:sz w:val="32"/>
          <w:szCs w:val="22"/>
        </w:rPr>
        <w:t>1.4.4</w:t>
      </w:r>
      <w:r>
        <w:rPr>
          <w:rFonts w:hint="eastAsia" w:ascii="仿宋_GB2312" w:eastAsia="仿宋_GB2312"/>
          <w:b/>
          <w:sz w:val="32"/>
          <w:szCs w:val="22"/>
        </w:rPr>
        <w:t>依法依规，科技支撑</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集中供热事故应急管理工作必须严格按照相关法律法规要求开展，同时充分借助科技手段支撑，提高工作效率和质量。</w:t>
      </w:r>
    </w:p>
    <w:p>
      <w:pPr>
        <w:pStyle w:val="3"/>
        <w:numPr>
          <w:ilvl w:val="0"/>
          <w:numId w:val="0"/>
        </w:numPr>
        <w:ind w:left="650"/>
        <w:rPr>
          <w:sz w:val="32"/>
          <w:szCs w:val="32"/>
        </w:rPr>
      </w:pPr>
      <w:bookmarkStart w:id="16" w:name="_Toc23712"/>
      <w:bookmarkStart w:id="17" w:name="_Toc14953"/>
      <w:r>
        <w:rPr>
          <w:rFonts w:hint="eastAsia" w:cs="Times New Roman"/>
          <w:kern w:val="2"/>
          <w:sz w:val="32"/>
          <w:szCs w:val="22"/>
        </w:rPr>
        <w:t>2应急组织体系</w:t>
      </w:r>
    </w:p>
    <w:bookmarkEnd w:id="16"/>
    <w:bookmarkEnd w:id="17"/>
    <w:p>
      <w:pPr>
        <w:adjustRightInd w:val="0"/>
        <w:snapToGrid w:val="0"/>
        <w:spacing w:line="560" w:lineRule="exact"/>
        <w:ind w:firstLine="643" w:firstLineChars="200"/>
        <w:rPr>
          <w:rFonts w:eastAsia="仿宋_GB2312"/>
          <w:sz w:val="32"/>
          <w:szCs w:val="22"/>
        </w:rPr>
      </w:pPr>
      <w:bookmarkStart w:id="18" w:name="_Toc15211"/>
      <w:bookmarkStart w:id="19" w:name="_Toc23161"/>
      <w:r>
        <w:rPr>
          <w:rFonts w:hint="eastAsia" w:eastAsia="仿宋_GB2312"/>
          <w:b/>
          <w:sz w:val="32"/>
          <w:szCs w:val="22"/>
        </w:rPr>
        <w:t>2.1</w:t>
      </w:r>
      <w:r>
        <w:rPr>
          <w:rFonts w:hint="eastAsia" w:ascii="仿宋_GB2312" w:eastAsia="仿宋_GB2312"/>
          <w:b/>
          <w:sz w:val="32"/>
          <w:szCs w:val="22"/>
        </w:rPr>
        <w:t>应急指挥机构</w:t>
      </w:r>
      <w:bookmarkEnd w:id="18"/>
      <w:bookmarkEnd w:id="19"/>
    </w:p>
    <w:p>
      <w:pPr>
        <w:adjustRightInd w:val="0"/>
        <w:snapToGrid w:val="0"/>
        <w:spacing w:line="560" w:lineRule="exact"/>
        <w:ind w:firstLine="640" w:firstLineChars="200"/>
        <w:rPr>
          <w:rFonts w:eastAsia="仿宋_GB2312"/>
          <w:sz w:val="32"/>
          <w:szCs w:val="22"/>
        </w:rPr>
      </w:pPr>
      <w:r>
        <w:rPr>
          <w:rFonts w:hint="eastAsia" w:eastAsia="仿宋_GB2312"/>
          <w:sz w:val="32"/>
          <w:szCs w:val="22"/>
        </w:rPr>
        <w:t>成立西安市雁塔区集中供热事故应急指挥部（以下简称应急指挥部），负责统一领导和组织实施集中供热事故的应急处置工作。</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总 指 挥：分管副区长</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副总指挥：区城管局局长</w:t>
      </w:r>
    </w:p>
    <w:p>
      <w:pPr>
        <w:adjustRightInd w:val="0"/>
        <w:snapToGrid w:val="0"/>
        <w:spacing w:line="560" w:lineRule="exact"/>
        <w:ind w:firstLine="2240" w:firstLineChars="700"/>
        <w:rPr>
          <w:rFonts w:eastAsia="仿宋_GB2312"/>
          <w:sz w:val="32"/>
          <w:szCs w:val="22"/>
        </w:rPr>
      </w:pPr>
      <w:r>
        <w:rPr>
          <w:rFonts w:hint="eastAsia" w:eastAsia="仿宋_GB2312"/>
          <w:sz w:val="32"/>
          <w:szCs w:val="22"/>
        </w:rPr>
        <w:t>区住建局局长</w:t>
      </w:r>
    </w:p>
    <w:p>
      <w:pPr>
        <w:adjustRightInd w:val="0"/>
        <w:snapToGrid w:val="0"/>
        <w:spacing w:line="560" w:lineRule="exact"/>
        <w:ind w:firstLine="2240" w:firstLineChars="700"/>
        <w:rPr>
          <w:rFonts w:eastAsia="仿宋_GB2312"/>
          <w:sz w:val="32"/>
          <w:szCs w:val="22"/>
        </w:rPr>
      </w:pPr>
      <w:r>
        <w:rPr>
          <w:rFonts w:hint="eastAsia" w:eastAsia="仿宋_GB2312"/>
          <w:sz w:val="32"/>
          <w:szCs w:val="22"/>
        </w:rPr>
        <w:t>区应急管理局局长</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成员单位：区</w:t>
      </w:r>
      <w:r>
        <w:rPr>
          <w:rFonts w:eastAsia="仿宋_GB2312"/>
          <w:sz w:val="32"/>
          <w:szCs w:val="22"/>
        </w:rPr>
        <w:t>委宣传部、</w:t>
      </w:r>
      <w:r>
        <w:rPr>
          <w:rFonts w:hint="eastAsia" w:eastAsia="仿宋_GB2312"/>
          <w:sz w:val="32"/>
          <w:szCs w:val="22"/>
        </w:rPr>
        <w:t>区委政法委、区委网信办、区发改委、区教育局、区科工局、区财政局、区人社局、生态环境雁塔分局、区住建局、区城管局、区交通局、区农水局、区商务局、区卫健局、区应急管理局、区市场监管局、区信访局、雁塔消防救援大队、公安雁塔分局、交警雁塔大队、资源规划雁塔分局、各街办（园办）、区</w:t>
      </w:r>
      <w:r>
        <w:rPr>
          <w:rFonts w:eastAsia="仿宋_GB2312"/>
          <w:sz w:val="32"/>
          <w:szCs w:val="22"/>
        </w:rPr>
        <w:t>城投</w:t>
      </w:r>
      <w:r>
        <w:rPr>
          <w:rFonts w:hint="eastAsia" w:eastAsia="仿宋_GB2312"/>
          <w:sz w:val="32"/>
          <w:szCs w:val="22"/>
        </w:rPr>
        <w:t>公司、区城发集团、</w:t>
      </w:r>
      <w:r>
        <w:rPr>
          <w:rFonts w:eastAsia="仿宋_GB2312"/>
          <w:sz w:val="32"/>
          <w:szCs w:val="22"/>
        </w:rPr>
        <w:t>西安</w:t>
      </w:r>
      <w:r>
        <w:rPr>
          <w:rFonts w:hint="eastAsia" w:eastAsia="仿宋_GB2312"/>
          <w:sz w:val="32"/>
          <w:szCs w:val="22"/>
        </w:rPr>
        <w:t>排水</w:t>
      </w:r>
      <w:r>
        <w:rPr>
          <w:rFonts w:eastAsia="仿宋_GB2312"/>
          <w:sz w:val="32"/>
          <w:szCs w:val="22"/>
        </w:rPr>
        <w:t>集团</w:t>
      </w:r>
      <w:r>
        <w:rPr>
          <w:rFonts w:hint="eastAsia" w:eastAsia="仿宋_GB2312"/>
          <w:sz w:val="32"/>
          <w:szCs w:val="22"/>
        </w:rPr>
        <w:t>南郊（东郊、西郊）分公司、事故涉及的供热企业、燃气企业。</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主要职责：</w:t>
      </w:r>
    </w:p>
    <w:p>
      <w:pPr>
        <w:adjustRightInd w:val="0"/>
        <w:snapToGrid w:val="0"/>
        <w:spacing w:line="560" w:lineRule="exact"/>
        <w:ind w:firstLine="640" w:firstLineChars="200"/>
        <w:rPr>
          <w:rFonts w:eastAsia="仿宋_GB2312"/>
          <w:sz w:val="32"/>
          <w:szCs w:val="22"/>
        </w:rPr>
      </w:pPr>
      <w:r>
        <w:rPr>
          <w:rFonts w:eastAsia="仿宋_GB2312"/>
          <w:sz w:val="32"/>
          <w:szCs w:val="22"/>
        </w:rPr>
        <w:t>（1</w:t>
      </w:r>
      <w:r>
        <w:rPr>
          <w:rFonts w:hint="eastAsia" w:eastAsia="仿宋_GB2312"/>
          <w:sz w:val="32"/>
          <w:szCs w:val="22"/>
        </w:rPr>
        <w:t>）贯彻落实突发事件应对法律法规，分析、研究集中供热事故防范与处置工作重大问题及重要决策事项；</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（2）组织指挥区级层面集中供热事故的应急处置；</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（3）</w:t>
      </w:r>
      <w:r>
        <w:rPr>
          <w:rFonts w:eastAsia="仿宋_GB2312"/>
          <w:sz w:val="32"/>
          <w:szCs w:val="22"/>
        </w:rPr>
        <w:t>指导、协助</w:t>
      </w:r>
      <w:r>
        <w:rPr>
          <w:rFonts w:hint="eastAsia" w:eastAsia="仿宋_GB2312"/>
          <w:sz w:val="32"/>
          <w:szCs w:val="22"/>
        </w:rPr>
        <w:t>各街办（园办）开展集中供热事故</w:t>
      </w:r>
      <w:r>
        <w:rPr>
          <w:rFonts w:eastAsia="仿宋_GB2312"/>
          <w:sz w:val="32"/>
          <w:szCs w:val="22"/>
        </w:rPr>
        <w:t>的应对工作</w:t>
      </w:r>
      <w:r>
        <w:rPr>
          <w:rFonts w:hint="eastAsia" w:eastAsia="仿宋_GB2312"/>
          <w:sz w:val="32"/>
          <w:szCs w:val="22"/>
        </w:rPr>
        <w:t>；</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（4）完成上级交办的其他任务。</w:t>
      </w:r>
    </w:p>
    <w:p>
      <w:pPr>
        <w:adjustRightInd w:val="0"/>
        <w:snapToGrid w:val="0"/>
        <w:spacing w:line="560" w:lineRule="exact"/>
        <w:ind w:firstLine="643" w:firstLineChars="200"/>
        <w:rPr>
          <w:rFonts w:eastAsia="仿宋_GB2312"/>
          <w:sz w:val="32"/>
          <w:szCs w:val="22"/>
        </w:rPr>
      </w:pPr>
      <w:bookmarkStart w:id="20" w:name="_Toc18930"/>
      <w:bookmarkStart w:id="21" w:name="_Toc6340"/>
      <w:r>
        <w:rPr>
          <w:rFonts w:hint="eastAsia" w:eastAsia="仿宋_GB2312"/>
          <w:b/>
          <w:sz w:val="32"/>
          <w:szCs w:val="22"/>
        </w:rPr>
        <w:t>2.2</w:t>
      </w:r>
      <w:r>
        <w:rPr>
          <w:rFonts w:hint="eastAsia" w:ascii="仿宋_GB2312" w:eastAsia="仿宋_GB2312"/>
          <w:b/>
          <w:sz w:val="32"/>
          <w:szCs w:val="22"/>
        </w:rPr>
        <w:t>办事机构</w:t>
      </w:r>
      <w:bookmarkEnd w:id="20"/>
      <w:bookmarkEnd w:id="21"/>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区应急指挥部下设办公室，办公室设在区城管局，办公室主任由区城管局分管副局长担任。</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主要职责：</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（1）传达区应急指挥部指示和批示，对集中供热应急管理工作的相关事项提出建议；</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（2）承担集中供热风险信息和事件信息流转的中枢职能，并组织开展统计、分析和研判；</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（3）根据集中供热风险信息和事故信息的分析研判结果，向区应急指挥部提出预警和响应的相关建议，经批准后发布或传达相关信息；</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（4）负责上级和区应急指挥部交办的其他工作。</w:t>
      </w:r>
    </w:p>
    <w:p>
      <w:pPr>
        <w:adjustRightInd w:val="0"/>
        <w:snapToGrid w:val="0"/>
        <w:spacing w:line="560" w:lineRule="exact"/>
        <w:ind w:firstLine="643" w:firstLineChars="200"/>
        <w:rPr>
          <w:rFonts w:eastAsia="仿宋_GB2312"/>
          <w:b/>
          <w:sz w:val="32"/>
          <w:szCs w:val="22"/>
        </w:rPr>
      </w:pPr>
      <w:bookmarkStart w:id="22" w:name="_Toc32314"/>
      <w:bookmarkStart w:id="23" w:name="_Toc22781"/>
      <w:r>
        <w:rPr>
          <w:rFonts w:hint="eastAsia" w:eastAsia="仿宋_GB2312"/>
          <w:b/>
          <w:sz w:val="32"/>
          <w:szCs w:val="22"/>
        </w:rPr>
        <w:t>2.3成员单位职责</w:t>
      </w:r>
      <w:bookmarkEnd w:id="22"/>
      <w:bookmarkEnd w:id="23"/>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w:t>
      </w:r>
      <w:r>
        <w:rPr>
          <w:rFonts w:eastAsia="仿宋_GB2312"/>
          <w:sz w:val="32"/>
          <w:szCs w:val="22"/>
        </w:rPr>
        <w:t>委宣传部</w:t>
      </w:r>
      <w:r>
        <w:rPr>
          <w:rFonts w:hint="eastAsia" w:eastAsia="仿宋_GB2312"/>
          <w:sz w:val="32"/>
          <w:szCs w:val="22"/>
        </w:rPr>
        <w:t>：</w:t>
      </w:r>
      <w:r>
        <w:rPr>
          <w:rFonts w:eastAsia="仿宋_GB2312"/>
          <w:sz w:val="32"/>
          <w:szCs w:val="22"/>
        </w:rPr>
        <w:t>负责组织指导</w:t>
      </w:r>
      <w:r>
        <w:rPr>
          <w:rFonts w:hint="eastAsia" w:eastAsia="仿宋_GB2312"/>
          <w:sz w:val="32"/>
          <w:szCs w:val="22"/>
        </w:rPr>
        <w:t>集中供热事故</w:t>
      </w:r>
      <w:r>
        <w:rPr>
          <w:rFonts w:eastAsia="仿宋_GB2312"/>
          <w:sz w:val="32"/>
          <w:szCs w:val="22"/>
        </w:rPr>
        <w:t>信息及抢险救援情况的发布，处置</w:t>
      </w:r>
      <w:r>
        <w:rPr>
          <w:rFonts w:hint="eastAsia" w:eastAsia="仿宋_GB2312"/>
          <w:sz w:val="32"/>
          <w:szCs w:val="22"/>
        </w:rPr>
        <w:t>集中供热事故</w:t>
      </w:r>
      <w:r>
        <w:rPr>
          <w:rFonts w:eastAsia="仿宋_GB2312"/>
          <w:sz w:val="32"/>
          <w:szCs w:val="22"/>
        </w:rPr>
        <w:t>相关舆情；协调新闻媒体做好新闻报道和应急知识宣传。</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区委政法委：负责协调公安部门和事发街办（园办）做好集中供热事故现场的安保维稳工作。</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区委网信办：</w:t>
      </w:r>
      <w:r>
        <w:rPr>
          <w:rFonts w:eastAsia="仿宋_GB2312"/>
          <w:sz w:val="32"/>
          <w:szCs w:val="22"/>
        </w:rPr>
        <w:t>负责</w:t>
      </w:r>
      <w:r>
        <w:rPr>
          <w:rFonts w:hint="eastAsia" w:eastAsia="仿宋_GB2312"/>
          <w:sz w:val="32"/>
          <w:szCs w:val="22"/>
        </w:rPr>
        <w:t>集中供热事故</w:t>
      </w:r>
      <w:r>
        <w:rPr>
          <w:rFonts w:eastAsia="仿宋_GB2312"/>
          <w:sz w:val="32"/>
          <w:szCs w:val="22"/>
        </w:rPr>
        <w:t>相关网络舆情的监测，</w:t>
      </w:r>
      <w:r>
        <w:rPr>
          <w:rFonts w:hint="eastAsia" w:eastAsia="仿宋_GB2312"/>
          <w:sz w:val="32"/>
          <w:szCs w:val="22"/>
        </w:rPr>
        <w:t>指导涉事企业</w:t>
      </w:r>
      <w:r>
        <w:rPr>
          <w:rFonts w:eastAsia="仿宋_GB2312"/>
          <w:sz w:val="32"/>
          <w:szCs w:val="22"/>
        </w:rPr>
        <w:t>开展</w:t>
      </w:r>
      <w:r>
        <w:rPr>
          <w:rFonts w:hint="eastAsia" w:eastAsia="仿宋_GB2312"/>
          <w:sz w:val="32"/>
          <w:szCs w:val="22"/>
        </w:rPr>
        <w:t>网络</w:t>
      </w:r>
      <w:r>
        <w:rPr>
          <w:rFonts w:eastAsia="仿宋_GB2312"/>
          <w:sz w:val="32"/>
          <w:szCs w:val="22"/>
        </w:rPr>
        <w:t>舆情应对和处置。</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区发改委：</w:t>
      </w:r>
      <w:r>
        <w:rPr>
          <w:rFonts w:eastAsia="仿宋_GB2312"/>
          <w:sz w:val="32"/>
          <w:szCs w:val="22"/>
        </w:rPr>
        <w:t>负责协调落实热电企业发电负荷，组织协调</w:t>
      </w:r>
      <w:r>
        <w:rPr>
          <w:rFonts w:hint="eastAsia" w:eastAsia="仿宋_GB2312"/>
          <w:sz w:val="32"/>
          <w:szCs w:val="22"/>
        </w:rPr>
        <w:t>气源</w:t>
      </w:r>
      <w:r>
        <w:rPr>
          <w:rFonts w:eastAsia="仿宋_GB2312"/>
          <w:sz w:val="32"/>
          <w:szCs w:val="22"/>
        </w:rPr>
        <w:t>，做好热电企业、供热企业等单位生产</w:t>
      </w:r>
      <w:r>
        <w:rPr>
          <w:rFonts w:hint="eastAsia" w:eastAsia="仿宋_GB2312"/>
          <w:sz w:val="32"/>
          <w:szCs w:val="22"/>
        </w:rPr>
        <w:t>用气</w:t>
      </w:r>
      <w:r>
        <w:rPr>
          <w:rFonts w:eastAsia="仿宋_GB2312"/>
          <w:sz w:val="32"/>
          <w:szCs w:val="22"/>
        </w:rPr>
        <w:t>调配和保障工作</w:t>
      </w:r>
      <w:r>
        <w:rPr>
          <w:rFonts w:hint="eastAsia" w:eastAsia="仿宋_GB2312"/>
          <w:sz w:val="32"/>
          <w:szCs w:val="22"/>
        </w:rPr>
        <w:t>；协调国网西安供电公司，</w:t>
      </w:r>
      <w:r>
        <w:rPr>
          <w:rFonts w:eastAsia="仿宋_GB2312"/>
          <w:sz w:val="32"/>
          <w:szCs w:val="22"/>
        </w:rPr>
        <w:t>根据</w:t>
      </w:r>
      <w:r>
        <w:rPr>
          <w:rFonts w:hint="eastAsia" w:eastAsia="仿宋_GB2312"/>
          <w:sz w:val="32"/>
          <w:szCs w:val="22"/>
        </w:rPr>
        <w:t>集中供热事故</w:t>
      </w:r>
      <w:r>
        <w:rPr>
          <w:rFonts w:eastAsia="仿宋_GB2312"/>
          <w:sz w:val="32"/>
          <w:szCs w:val="22"/>
        </w:rPr>
        <w:t>应急处置需要，</w:t>
      </w:r>
      <w:r>
        <w:rPr>
          <w:rFonts w:hint="eastAsia" w:eastAsia="仿宋_GB2312"/>
          <w:sz w:val="32"/>
          <w:szCs w:val="22"/>
        </w:rPr>
        <w:t>为处置工作</w:t>
      </w:r>
      <w:r>
        <w:rPr>
          <w:rFonts w:eastAsia="仿宋_GB2312"/>
          <w:sz w:val="32"/>
          <w:szCs w:val="22"/>
        </w:rPr>
        <w:t>提供电力保障</w:t>
      </w:r>
      <w:r>
        <w:rPr>
          <w:rFonts w:hint="eastAsia" w:eastAsia="仿宋_GB2312"/>
          <w:sz w:val="32"/>
          <w:szCs w:val="22"/>
        </w:rPr>
        <w:t>，</w:t>
      </w:r>
      <w:r>
        <w:rPr>
          <w:rFonts w:eastAsia="仿宋_GB2312"/>
          <w:sz w:val="32"/>
          <w:szCs w:val="22"/>
        </w:rPr>
        <w:t>对相关因</w:t>
      </w:r>
      <w:r>
        <w:rPr>
          <w:rFonts w:hint="eastAsia" w:eastAsia="仿宋_GB2312"/>
          <w:sz w:val="32"/>
          <w:szCs w:val="22"/>
        </w:rPr>
        <w:t>集中供热事故</w:t>
      </w:r>
      <w:r>
        <w:rPr>
          <w:rFonts w:eastAsia="仿宋_GB2312"/>
          <w:sz w:val="32"/>
          <w:szCs w:val="22"/>
        </w:rPr>
        <w:t>受影响供电线路、设施进行保护或抢修。</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区教育局：</w:t>
      </w:r>
      <w:r>
        <w:rPr>
          <w:rFonts w:eastAsia="仿宋_GB2312"/>
          <w:sz w:val="32"/>
          <w:szCs w:val="22"/>
        </w:rPr>
        <w:t>组织教育系统内部做好</w:t>
      </w:r>
      <w:r>
        <w:rPr>
          <w:rFonts w:hint="eastAsia" w:eastAsia="仿宋_GB2312"/>
          <w:sz w:val="32"/>
          <w:szCs w:val="22"/>
        </w:rPr>
        <w:t>集中供热事故</w:t>
      </w:r>
      <w:r>
        <w:rPr>
          <w:rFonts w:eastAsia="仿宋_GB2312"/>
          <w:sz w:val="32"/>
          <w:szCs w:val="22"/>
        </w:rPr>
        <w:t>的应急处置</w:t>
      </w:r>
      <w:r>
        <w:rPr>
          <w:rFonts w:hint="eastAsia" w:eastAsia="仿宋_GB2312"/>
          <w:sz w:val="32"/>
          <w:szCs w:val="22"/>
        </w:rPr>
        <w:t>。</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区科工局：</w:t>
      </w:r>
      <w:r>
        <w:rPr>
          <w:rFonts w:eastAsia="仿宋_GB2312"/>
          <w:sz w:val="32"/>
          <w:szCs w:val="22"/>
        </w:rPr>
        <w:t>负责协调通信运营商，做好应急救援通信保障工作。</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区财政局：</w:t>
      </w:r>
      <w:r>
        <w:rPr>
          <w:rFonts w:eastAsia="仿宋_GB2312"/>
          <w:sz w:val="32"/>
          <w:szCs w:val="22"/>
        </w:rPr>
        <w:t>负责</w:t>
      </w:r>
      <w:r>
        <w:rPr>
          <w:rFonts w:hint="eastAsia" w:eastAsia="仿宋_GB2312"/>
          <w:sz w:val="32"/>
          <w:szCs w:val="22"/>
        </w:rPr>
        <w:t>集中</w:t>
      </w:r>
      <w:r>
        <w:rPr>
          <w:rFonts w:eastAsia="仿宋_GB2312"/>
          <w:sz w:val="32"/>
          <w:szCs w:val="22"/>
        </w:rPr>
        <w:t>供热</w:t>
      </w:r>
      <w:r>
        <w:rPr>
          <w:rFonts w:hint="eastAsia" w:eastAsia="仿宋_GB2312"/>
          <w:sz w:val="32"/>
          <w:szCs w:val="22"/>
        </w:rPr>
        <w:t>事故</w:t>
      </w:r>
      <w:r>
        <w:rPr>
          <w:rFonts w:eastAsia="仿宋_GB2312"/>
          <w:sz w:val="32"/>
          <w:szCs w:val="22"/>
        </w:rPr>
        <w:t>应急保障资金的落实及使用监</w:t>
      </w:r>
      <w:r>
        <w:rPr>
          <w:rFonts w:hint="eastAsia" w:eastAsia="仿宋_GB2312"/>
          <w:sz w:val="32"/>
          <w:szCs w:val="22"/>
        </w:rPr>
        <w:t>管和评估。</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区人社局：</w:t>
      </w:r>
      <w:r>
        <w:rPr>
          <w:rFonts w:eastAsia="仿宋_GB2312"/>
          <w:sz w:val="32"/>
          <w:szCs w:val="22"/>
        </w:rPr>
        <w:t>负责为</w:t>
      </w:r>
      <w:r>
        <w:rPr>
          <w:rFonts w:hint="eastAsia" w:eastAsia="仿宋_GB2312"/>
          <w:sz w:val="32"/>
          <w:szCs w:val="22"/>
        </w:rPr>
        <w:t>集中供热事故</w:t>
      </w:r>
      <w:r>
        <w:rPr>
          <w:rFonts w:eastAsia="仿宋_GB2312"/>
          <w:sz w:val="32"/>
          <w:szCs w:val="22"/>
        </w:rPr>
        <w:t>中遭受伤害的职工</w:t>
      </w:r>
      <w:r>
        <w:rPr>
          <w:rFonts w:hint="eastAsia" w:eastAsia="仿宋_GB2312"/>
          <w:sz w:val="32"/>
          <w:szCs w:val="22"/>
        </w:rPr>
        <w:t>进行工伤认定，为已参加工伤保险的职工落实工伤保险待遇。</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生态环境雁塔分局：负责集中供热事故处置期间，污染事件处置的统筹协调、监督及调查。</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区住建局：</w:t>
      </w:r>
      <w:r>
        <w:rPr>
          <w:rFonts w:eastAsia="仿宋_GB2312"/>
          <w:sz w:val="32"/>
          <w:szCs w:val="22"/>
        </w:rPr>
        <w:t>负责协调对受</w:t>
      </w:r>
      <w:r>
        <w:rPr>
          <w:rFonts w:hint="eastAsia" w:eastAsia="仿宋_GB2312"/>
          <w:sz w:val="32"/>
          <w:szCs w:val="22"/>
        </w:rPr>
        <w:t>集中供热事故</w:t>
      </w:r>
      <w:r>
        <w:rPr>
          <w:rFonts w:eastAsia="仿宋_GB2312"/>
          <w:sz w:val="32"/>
          <w:szCs w:val="22"/>
        </w:rPr>
        <w:t>影响建筑的</w:t>
      </w:r>
      <w:r>
        <w:rPr>
          <w:rFonts w:hint="eastAsia" w:eastAsia="仿宋_GB2312"/>
          <w:sz w:val="32"/>
          <w:szCs w:val="22"/>
        </w:rPr>
        <w:t>结构</w:t>
      </w:r>
      <w:r>
        <w:rPr>
          <w:rFonts w:eastAsia="仿宋_GB2312"/>
          <w:sz w:val="32"/>
          <w:szCs w:val="22"/>
        </w:rPr>
        <w:t>安全鉴定；督导物业服务企业配合应急处置和协助人员疏散避险</w:t>
      </w:r>
      <w:r>
        <w:rPr>
          <w:rFonts w:hint="eastAsia" w:eastAsia="仿宋_GB2312"/>
          <w:sz w:val="32"/>
          <w:szCs w:val="22"/>
        </w:rPr>
        <w:t>。</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区城管局：承担区应急指挥部办公室职能；</w:t>
      </w:r>
      <w:r>
        <w:rPr>
          <w:rFonts w:eastAsia="仿宋_GB2312"/>
          <w:sz w:val="32"/>
          <w:szCs w:val="22"/>
        </w:rPr>
        <w:t>协调</w:t>
      </w:r>
      <w:r>
        <w:rPr>
          <w:rFonts w:hint="eastAsia" w:eastAsia="仿宋_GB2312"/>
          <w:sz w:val="32"/>
          <w:szCs w:val="22"/>
        </w:rPr>
        <w:t>供热企业开展供热设施的应急抢修；负责收集、报送集中供热事故信息；参与集中供热事故调查处理；负责集中供热事故处置所涉及的城市管理行政执法工作；负责联系气象部门监测预报，及时为集中供热事故应对工作提供气象分析和预测预报。</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区交通局：</w:t>
      </w:r>
      <w:r>
        <w:rPr>
          <w:rFonts w:eastAsia="仿宋_GB2312"/>
          <w:sz w:val="32"/>
          <w:szCs w:val="22"/>
        </w:rPr>
        <w:t>负责协调道路运输企业做好应急运输保障，</w:t>
      </w:r>
      <w:r>
        <w:rPr>
          <w:rFonts w:hint="eastAsia" w:eastAsia="仿宋_GB2312"/>
          <w:sz w:val="32"/>
          <w:szCs w:val="22"/>
        </w:rPr>
        <w:t>协调集中供热事故现场人员和物资的运送。</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区农水局：</w:t>
      </w:r>
      <w:r>
        <w:rPr>
          <w:rFonts w:eastAsia="仿宋_GB2312"/>
          <w:sz w:val="32"/>
          <w:szCs w:val="22"/>
        </w:rPr>
        <w:t>负责</w:t>
      </w:r>
      <w:r>
        <w:rPr>
          <w:rFonts w:hint="eastAsia" w:eastAsia="仿宋_GB2312"/>
          <w:sz w:val="32"/>
          <w:szCs w:val="22"/>
        </w:rPr>
        <w:t>集中供热事故处置过程中的</w:t>
      </w:r>
      <w:r>
        <w:rPr>
          <w:rFonts w:eastAsia="仿宋_GB2312"/>
          <w:sz w:val="32"/>
          <w:szCs w:val="22"/>
        </w:rPr>
        <w:t>应急供水保障工作</w:t>
      </w:r>
      <w:r>
        <w:rPr>
          <w:rFonts w:hint="eastAsia" w:eastAsia="仿宋_GB2312"/>
          <w:sz w:val="32"/>
          <w:szCs w:val="22"/>
        </w:rPr>
        <w:t>，</w:t>
      </w:r>
      <w:r>
        <w:rPr>
          <w:rFonts w:eastAsia="仿宋_GB2312"/>
          <w:sz w:val="32"/>
          <w:szCs w:val="22"/>
        </w:rPr>
        <w:t>协调临时供水</w:t>
      </w:r>
      <w:r>
        <w:rPr>
          <w:rFonts w:hint="eastAsia" w:eastAsia="仿宋_GB2312"/>
          <w:sz w:val="32"/>
          <w:szCs w:val="22"/>
        </w:rPr>
        <w:t>。</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区商务局：</w:t>
      </w:r>
      <w:r>
        <w:rPr>
          <w:rFonts w:eastAsia="仿宋_GB2312"/>
          <w:sz w:val="32"/>
          <w:szCs w:val="22"/>
        </w:rPr>
        <w:t>负责</w:t>
      </w:r>
      <w:r>
        <w:rPr>
          <w:rFonts w:hint="eastAsia" w:eastAsia="仿宋_GB2312"/>
          <w:sz w:val="32"/>
          <w:szCs w:val="22"/>
        </w:rPr>
        <w:t>集中供热事故处置过程中</w:t>
      </w:r>
      <w:r>
        <w:rPr>
          <w:rFonts w:eastAsia="仿宋_GB2312"/>
          <w:sz w:val="32"/>
          <w:szCs w:val="22"/>
        </w:rPr>
        <w:t>生活必需品市场运行调控。</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区卫健局：负责组织协调医疗卫生机构对集中供热事故中受伤人员的医疗救治工作。</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区应急管理局：</w:t>
      </w:r>
      <w:r>
        <w:rPr>
          <w:rFonts w:eastAsia="仿宋_GB2312"/>
          <w:sz w:val="32"/>
          <w:szCs w:val="22"/>
        </w:rPr>
        <w:t>负责指导、</w:t>
      </w:r>
      <w:r>
        <w:rPr>
          <w:rFonts w:hint="eastAsia" w:eastAsia="仿宋_GB2312"/>
          <w:sz w:val="32"/>
          <w:szCs w:val="22"/>
        </w:rPr>
        <w:t>督促供热</w:t>
      </w:r>
      <w:r>
        <w:rPr>
          <w:rFonts w:eastAsia="仿宋_GB2312"/>
          <w:sz w:val="32"/>
          <w:szCs w:val="22"/>
        </w:rPr>
        <w:t>相关行业部门的安全生产监督管理工作</w:t>
      </w:r>
      <w:r>
        <w:rPr>
          <w:rFonts w:hint="eastAsia" w:eastAsia="仿宋_GB2312"/>
          <w:sz w:val="32"/>
          <w:szCs w:val="22"/>
        </w:rPr>
        <w:t>；对集中供热事故应急处置和抢险救援工作提出意见或建议；参与集中供热事故的调查处理。</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区市场监管局：</w:t>
      </w:r>
      <w:r>
        <w:rPr>
          <w:rFonts w:eastAsia="仿宋_GB2312"/>
          <w:sz w:val="32"/>
          <w:szCs w:val="22"/>
        </w:rPr>
        <w:t>负责督导对</w:t>
      </w:r>
      <w:r>
        <w:rPr>
          <w:rFonts w:hint="eastAsia" w:eastAsia="仿宋_GB2312"/>
          <w:sz w:val="32"/>
          <w:szCs w:val="22"/>
        </w:rPr>
        <w:t>集中供热</w:t>
      </w:r>
      <w:r>
        <w:rPr>
          <w:rFonts w:eastAsia="仿宋_GB2312"/>
          <w:sz w:val="32"/>
          <w:szCs w:val="22"/>
        </w:rPr>
        <w:t>承压特种设备的检验检测和隐患整改；协调承压特种设备专家制定设备抢修方案；参与</w:t>
      </w:r>
      <w:r>
        <w:rPr>
          <w:rFonts w:hint="eastAsia" w:eastAsia="仿宋_GB2312"/>
          <w:sz w:val="32"/>
          <w:szCs w:val="22"/>
        </w:rPr>
        <w:t>集中供热事故</w:t>
      </w:r>
      <w:r>
        <w:rPr>
          <w:rFonts w:eastAsia="仿宋_GB2312"/>
          <w:sz w:val="32"/>
          <w:szCs w:val="22"/>
        </w:rPr>
        <w:t>调查</w:t>
      </w:r>
      <w:r>
        <w:rPr>
          <w:rFonts w:hint="eastAsia" w:eastAsia="仿宋_GB2312"/>
          <w:sz w:val="32"/>
          <w:szCs w:val="22"/>
        </w:rPr>
        <w:t>，</w:t>
      </w:r>
      <w:r>
        <w:rPr>
          <w:rFonts w:eastAsia="仿宋_GB2312"/>
          <w:sz w:val="32"/>
          <w:szCs w:val="22"/>
        </w:rPr>
        <w:t>并协调开展承压特种设备的技术鉴定。</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区信访局：负责做好信访群众的接待工作，协调相关责任单位共同做好相关政策、法规的解释和群众思想稳定工作。</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公安雁塔分局：负责维护集中供热事故现场及周边影响区域的社会治安秩序，经上级公安机关和区政府批准，对严重危害社会治安秩序的突发事件，可以根据情况实施现场管制。</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交警雁塔大队：负责维护集中供热事故现场及周边影响区域的道路交通管理秩序，必要时可依法实行交通管制。</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雁塔消防救援大队：参与组织集中供热事故现场火灾扑救和以抢救人员生命为主的应急救援工作。</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资源</w:t>
      </w:r>
      <w:r>
        <w:rPr>
          <w:rFonts w:hint="eastAsia" w:eastAsia="仿宋_GB2312"/>
          <w:sz w:val="32"/>
          <w:szCs w:val="22"/>
          <w:lang w:val="en-US" w:eastAsia="zh-CN"/>
        </w:rPr>
        <w:t>规划</w:t>
      </w:r>
      <w:bookmarkStart w:id="117" w:name="_GoBack"/>
      <w:bookmarkEnd w:id="117"/>
      <w:r>
        <w:rPr>
          <w:rFonts w:hint="eastAsia" w:eastAsia="仿宋_GB2312"/>
          <w:sz w:val="32"/>
          <w:szCs w:val="22"/>
        </w:rPr>
        <w:t>雁塔分局：负责事故衍生的地质灾害防治工作，参与组织人员撤离危险区，做到科学预防。</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w:t>
      </w:r>
      <w:r>
        <w:rPr>
          <w:rFonts w:eastAsia="仿宋_GB2312"/>
          <w:sz w:val="32"/>
          <w:szCs w:val="22"/>
        </w:rPr>
        <w:t>城投</w:t>
      </w:r>
      <w:r>
        <w:rPr>
          <w:rFonts w:hint="eastAsia" w:eastAsia="仿宋_GB2312"/>
          <w:sz w:val="32"/>
          <w:szCs w:val="22"/>
        </w:rPr>
        <w:t>公司：</w:t>
      </w:r>
      <w:r>
        <w:rPr>
          <w:rFonts w:eastAsia="仿宋_GB2312"/>
          <w:sz w:val="32"/>
          <w:szCs w:val="22"/>
        </w:rPr>
        <w:t>负责</w:t>
      </w:r>
      <w:r>
        <w:rPr>
          <w:rFonts w:hint="eastAsia" w:eastAsia="仿宋_GB2312"/>
          <w:sz w:val="32"/>
          <w:szCs w:val="22"/>
        </w:rPr>
        <w:t>做好所承担小区的供热设施改造项目施工、维护等事项。</w:t>
      </w:r>
      <w:r>
        <w:rPr>
          <w:rFonts w:eastAsia="仿宋_GB2312"/>
          <w:sz w:val="32"/>
          <w:szCs w:val="22"/>
        </w:rPr>
        <w:t>负责</w:t>
      </w:r>
      <w:r>
        <w:rPr>
          <w:rFonts w:hint="eastAsia" w:eastAsia="仿宋_GB2312"/>
          <w:sz w:val="32"/>
          <w:szCs w:val="22"/>
        </w:rPr>
        <w:t>联系市城投公司</w:t>
      </w:r>
      <w:r>
        <w:rPr>
          <w:rFonts w:eastAsia="仿宋_GB2312"/>
          <w:sz w:val="32"/>
          <w:szCs w:val="22"/>
        </w:rPr>
        <w:t>督导</w:t>
      </w:r>
      <w:r>
        <w:rPr>
          <w:rFonts w:hint="eastAsia" w:eastAsia="仿宋_GB2312"/>
          <w:sz w:val="32"/>
          <w:szCs w:val="22"/>
        </w:rPr>
        <w:t>雁塔辖区</w:t>
      </w:r>
      <w:r>
        <w:rPr>
          <w:rFonts w:eastAsia="仿宋_GB2312"/>
          <w:sz w:val="32"/>
          <w:szCs w:val="22"/>
        </w:rPr>
        <w:t>下属</w:t>
      </w:r>
      <w:r>
        <w:rPr>
          <w:rFonts w:hint="eastAsia" w:eastAsia="仿宋_GB2312"/>
          <w:sz w:val="32"/>
          <w:szCs w:val="22"/>
        </w:rPr>
        <w:t>供热</w:t>
      </w:r>
      <w:r>
        <w:rPr>
          <w:rFonts w:eastAsia="仿宋_GB2312"/>
          <w:sz w:val="32"/>
          <w:szCs w:val="22"/>
        </w:rPr>
        <w:t>单位的安全预防工作，及时排除隐患和上报相关风险信息。</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区城发集团：负责督导三供一业小区供热</w:t>
      </w:r>
      <w:r>
        <w:rPr>
          <w:rFonts w:eastAsia="仿宋_GB2312"/>
          <w:sz w:val="32"/>
          <w:szCs w:val="22"/>
        </w:rPr>
        <w:t>的安全预防工作，</w:t>
      </w:r>
      <w:r>
        <w:rPr>
          <w:rFonts w:hint="eastAsia" w:eastAsia="仿宋_GB2312"/>
          <w:sz w:val="32"/>
          <w:szCs w:val="22"/>
        </w:rPr>
        <w:t>牵头三供一业小区供热事故的应急工作，</w:t>
      </w:r>
      <w:r>
        <w:rPr>
          <w:rFonts w:eastAsia="仿宋_GB2312"/>
          <w:sz w:val="32"/>
          <w:szCs w:val="22"/>
        </w:rPr>
        <w:t>及时排除隐患和上报相关风险信息</w:t>
      </w:r>
      <w:r>
        <w:rPr>
          <w:rFonts w:hint="eastAsia" w:eastAsia="仿宋_GB2312"/>
          <w:sz w:val="32"/>
          <w:szCs w:val="22"/>
        </w:rPr>
        <w:t>。</w:t>
      </w:r>
    </w:p>
    <w:p>
      <w:pPr>
        <w:adjustRightInd w:val="0"/>
        <w:snapToGrid w:val="0"/>
        <w:spacing w:line="560" w:lineRule="exact"/>
        <w:ind w:firstLine="640" w:firstLineChars="200"/>
        <w:rPr>
          <w:rFonts w:eastAsia="仿宋_GB2312"/>
          <w:sz w:val="32"/>
          <w:szCs w:val="22"/>
        </w:rPr>
      </w:pPr>
      <w:r>
        <w:rPr>
          <w:rFonts w:eastAsia="仿宋_GB2312"/>
          <w:sz w:val="32"/>
          <w:szCs w:val="22"/>
        </w:rPr>
        <w:t>西安</w:t>
      </w:r>
      <w:r>
        <w:rPr>
          <w:rFonts w:hint="eastAsia" w:eastAsia="仿宋_GB2312"/>
          <w:sz w:val="32"/>
          <w:szCs w:val="22"/>
        </w:rPr>
        <w:t>排水</w:t>
      </w:r>
      <w:r>
        <w:rPr>
          <w:rFonts w:eastAsia="仿宋_GB2312"/>
          <w:sz w:val="32"/>
          <w:szCs w:val="22"/>
        </w:rPr>
        <w:t>集团</w:t>
      </w:r>
      <w:r>
        <w:rPr>
          <w:rFonts w:hint="eastAsia" w:eastAsia="仿宋_GB2312"/>
          <w:sz w:val="32"/>
          <w:szCs w:val="22"/>
        </w:rPr>
        <w:t>南郊（东郊、西郊）分公司：</w:t>
      </w:r>
      <w:r>
        <w:rPr>
          <w:rFonts w:eastAsia="仿宋_GB2312"/>
          <w:sz w:val="32"/>
          <w:szCs w:val="22"/>
        </w:rPr>
        <w:t>负责对</w:t>
      </w:r>
      <w:r>
        <w:rPr>
          <w:rFonts w:hint="eastAsia" w:eastAsia="仿宋_GB2312"/>
          <w:sz w:val="32"/>
          <w:szCs w:val="22"/>
        </w:rPr>
        <w:t>集中供热事故</w:t>
      </w:r>
      <w:r>
        <w:rPr>
          <w:rFonts w:eastAsia="仿宋_GB2312"/>
          <w:sz w:val="32"/>
          <w:szCs w:val="22"/>
        </w:rPr>
        <w:t>周边供排水管线、设施进行风险监测，对相关因</w:t>
      </w:r>
      <w:r>
        <w:rPr>
          <w:rFonts w:hint="eastAsia" w:eastAsia="仿宋_GB2312"/>
          <w:sz w:val="32"/>
          <w:szCs w:val="22"/>
        </w:rPr>
        <w:t>集中供热事故</w:t>
      </w:r>
      <w:r>
        <w:rPr>
          <w:rFonts w:eastAsia="仿宋_GB2312"/>
          <w:sz w:val="32"/>
          <w:szCs w:val="22"/>
        </w:rPr>
        <w:t>受影响供排水管线、设施进行保护或抢修</w:t>
      </w:r>
      <w:r>
        <w:rPr>
          <w:rFonts w:hint="eastAsia" w:eastAsia="仿宋_GB2312"/>
          <w:sz w:val="32"/>
          <w:szCs w:val="22"/>
        </w:rPr>
        <w:t>。</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各街办（园办）：负责本辖区</w:t>
      </w:r>
      <w:r>
        <w:rPr>
          <w:rFonts w:eastAsia="仿宋_GB2312"/>
          <w:sz w:val="32"/>
          <w:szCs w:val="22"/>
        </w:rPr>
        <w:t>内</w:t>
      </w:r>
      <w:r>
        <w:rPr>
          <w:rFonts w:hint="eastAsia" w:eastAsia="仿宋_GB2312"/>
          <w:sz w:val="32"/>
          <w:szCs w:val="22"/>
        </w:rPr>
        <w:t>供热</w:t>
      </w:r>
      <w:r>
        <w:rPr>
          <w:rFonts w:eastAsia="仿宋_GB2312"/>
          <w:sz w:val="32"/>
          <w:szCs w:val="22"/>
        </w:rPr>
        <w:t>安全隐患的排查和治理、预警措施的落实，收集与上报相关</w:t>
      </w:r>
      <w:r>
        <w:rPr>
          <w:rFonts w:hint="eastAsia" w:eastAsia="仿宋_GB2312"/>
          <w:sz w:val="32"/>
          <w:szCs w:val="22"/>
        </w:rPr>
        <w:t>事件</w:t>
      </w:r>
      <w:r>
        <w:rPr>
          <w:rFonts w:eastAsia="仿宋_GB2312"/>
          <w:sz w:val="32"/>
          <w:szCs w:val="22"/>
        </w:rPr>
        <w:t>信息；组织预案启动前的先期处置工作；组织疏散避险和临时安置，协助维持相关秩序和提供临时生活保障，安排社区做好群众的宣传和劝导；协助提供应急处置办公后勤保障；</w:t>
      </w:r>
      <w:r>
        <w:rPr>
          <w:rFonts w:hint="eastAsia" w:eastAsia="仿宋_GB2312"/>
          <w:sz w:val="32"/>
          <w:szCs w:val="22"/>
        </w:rPr>
        <w:t>协助、</w:t>
      </w:r>
      <w:r>
        <w:rPr>
          <w:rFonts w:eastAsia="仿宋_GB2312"/>
          <w:sz w:val="32"/>
          <w:szCs w:val="22"/>
        </w:rPr>
        <w:t>参与</w:t>
      </w:r>
      <w:r>
        <w:rPr>
          <w:rFonts w:hint="eastAsia" w:eastAsia="仿宋_GB2312"/>
          <w:sz w:val="32"/>
          <w:szCs w:val="22"/>
        </w:rPr>
        <w:t>集中供热事故</w:t>
      </w:r>
      <w:r>
        <w:rPr>
          <w:rFonts w:eastAsia="仿宋_GB2312"/>
          <w:sz w:val="32"/>
          <w:szCs w:val="22"/>
        </w:rPr>
        <w:t>的调查和处理</w:t>
      </w:r>
      <w:r>
        <w:rPr>
          <w:rFonts w:hint="eastAsia" w:eastAsia="仿宋_GB2312"/>
          <w:sz w:val="32"/>
          <w:szCs w:val="22"/>
        </w:rPr>
        <w:t>。</w:t>
      </w:r>
    </w:p>
    <w:p>
      <w:pPr>
        <w:adjustRightInd w:val="0"/>
        <w:snapToGrid w:val="0"/>
        <w:spacing w:line="560" w:lineRule="exact"/>
        <w:ind w:firstLine="643" w:firstLineChars="200"/>
        <w:rPr>
          <w:rFonts w:eastAsia="仿宋_GB2312"/>
          <w:b/>
          <w:sz w:val="32"/>
          <w:szCs w:val="22"/>
        </w:rPr>
      </w:pPr>
      <w:bookmarkStart w:id="24" w:name="_Toc28199"/>
      <w:bookmarkStart w:id="25" w:name="_Toc21835"/>
      <w:r>
        <w:rPr>
          <w:rFonts w:hint="eastAsia" w:eastAsia="仿宋_GB2312"/>
          <w:b/>
          <w:sz w:val="32"/>
          <w:szCs w:val="22"/>
        </w:rPr>
        <w:t>2.4应急工作组</w:t>
      </w:r>
      <w:bookmarkEnd w:id="24"/>
      <w:bookmarkEnd w:id="25"/>
    </w:p>
    <w:p>
      <w:pPr>
        <w:adjustRightInd w:val="0"/>
        <w:snapToGrid w:val="0"/>
        <w:spacing w:line="560" w:lineRule="exact"/>
        <w:ind w:firstLine="640" w:firstLineChars="200"/>
        <w:rPr>
          <w:rFonts w:eastAsia="仿宋_GB2312"/>
          <w:sz w:val="32"/>
          <w:szCs w:val="22"/>
        </w:rPr>
      </w:pPr>
      <w:r>
        <w:rPr>
          <w:rFonts w:hint="eastAsia" w:eastAsia="仿宋_GB2312"/>
          <w:sz w:val="32"/>
          <w:szCs w:val="22"/>
        </w:rPr>
        <w:t>根据应急处置工作需要</w:t>
      </w:r>
      <w:r>
        <w:rPr>
          <w:rFonts w:eastAsia="仿宋_GB2312"/>
          <w:sz w:val="32"/>
          <w:szCs w:val="22"/>
        </w:rPr>
        <w:t>，组成</w:t>
      </w:r>
      <w:r>
        <w:rPr>
          <w:rFonts w:hint="eastAsia" w:eastAsia="仿宋_GB2312"/>
          <w:sz w:val="32"/>
          <w:szCs w:val="22"/>
        </w:rPr>
        <w:t>专业处置、风险监测、警戒疏散、宣传舆情、安全稳定、物资保障、事故调查、专家指导等工作组，按照工作组职责和预案应急职责开展相关应急处置工作。应急工作组可根据实际处置工作需要进行调整。</w:t>
      </w:r>
    </w:p>
    <w:p>
      <w:pPr>
        <w:adjustRightInd w:val="0"/>
        <w:snapToGrid w:val="0"/>
        <w:spacing w:line="560" w:lineRule="exact"/>
        <w:ind w:firstLine="643" w:firstLineChars="200"/>
        <w:rPr>
          <w:rFonts w:eastAsia="仿宋_GB2312"/>
          <w:b/>
          <w:bCs/>
          <w:sz w:val="32"/>
          <w:szCs w:val="22"/>
        </w:rPr>
      </w:pPr>
      <w:r>
        <w:rPr>
          <w:rFonts w:hint="eastAsia" w:eastAsia="仿宋_GB2312"/>
          <w:b/>
          <w:bCs/>
          <w:sz w:val="32"/>
          <w:szCs w:val="22"/>
        </w:rPr>
        <w:t>2.4.1专业处置组</w:t>
      </w:r>
    </w:p>
    <w:p>
      <w:pPr>
        <w:adjustRightInd w:val="0"/>
        <w:snapToGrid w:val="0"/>
        <w:spacing w:line="560" w:lineRule="exact"/>
        <w:ind w:firstLine="640" w:firstLineChars="200"/>
        <w:rPr>
          <w:rFonts w:eastAsia="仿宋_GB2312"/>
          <w:sz w:val="32"/>
          <w:szCs w:val="22"/>
        </w:rPr>
      </w:pPr>
      <w:r>
        <w:rPr>
          <w:rFonts w:eastAsia="仿宋_GB2312"/>
          <w:sz w:val="32"/>
          <w:szCs w:val="22"/>
        </w:rPr>
        <w:t>牵头单位：</w:t>
      </w:r>
      <w:r>
        <w:rPr>
          <w:rFonts w:hint="eastAsia" w:eastAsia="仿宋_GB2312"/>
          <w:sz w:val="32"/>
          <w:szCs w:val="22"/>
        </w:rPr>
        <w:t>区城管局</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成员单位：区住建局、区农水局、区应急管理局、区市场监管局、雁塔消防救援大队、区发改委、区城投公司、区城发集团、</w:t>
      </w:r>
      <w:r>
        <w:rPr>
          <w:rFonts w:eastAsia="仿宋_GB2312"/>
          <w:sz w:val="32"/>
          <w:szCs w:val="22"/>
        </w:rPr>
        <w:t>西安</w:t>
      </w:r>
      <w:r>
        <w:rPr>
          <w:rFonts w:hint="eastAsia" w:eastAsia="仿宋_GB2312"/>
          <w:sz w:val="32"/>
          <w:szCs w:val="22"/>
        </w:rPr>
        <w:t>排水</w:t>
      </w:r>
      <w:r>
        <w:rPr>
          <w:rFonts w:eastAsia="仿宋_GB2312"/>
          <w:sz w:val="32"/>
          <w:szCs w:val="22"/>
        </w:rPr>
        <w:t>集团</w:t>
      </w:r>
      <w:r>
        <w:rPr>
          <w:rFonts w:hint="eastAsia" w:eastAsia="仿宋_GB2312"/>
          <w:sz w:val="32"/>
          <w:szCs w:val="22"/>
        </w:rPr>
        <w:t>南郊（东郊、西郊）分公司、事故涉及的供热企业、事发街办（园办）等单位配合。</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主要职责：</w:t>
      </w:r>
      <w:r>
        <w:rPr>
          <w:rFonts w:eastAsia="仿宋_GB2312"/>
          <w:sz w:val="32"/>
          <w:szCs w:val="22"/>
        </w:rPr>
        <w:t>负责组织协调供热事故的应急处置，组织制定具体应急处置措施，开展抢险救援行动；负责组织开展现场火灾和爆炸险情的排除工作，扑救火灾；组织受损供热设施的抢修、关停；当供热事故对周边的环境、道路、各类管线和线路及相关设施、建筑物、构筑物造成影响时，协调相关处置工作；协调对抢险救援工作产生影响的道路、设施、建筑物、构筑物的拆除和破拆；协调因供热事故受到影响的水电、供热临时供应工作。</w:t>
      </w:r>
    </w:p>
    <w:p>
      <w:pPr>
        <w:adjustRightInd w:val="0"/>
        <w:snapToGrid w:val="0"/>
        <w:spacing w:line="560" w:lineRule="exact"/>
        <w:ind w:firstLine="643" w:firstLineChars="200"/>
        <w:rPr>
          <w:rFonts w:eastAsia="仿宋_GB2312"/>
          <w:b/>
          <w:sz w:val="32"/>
          <w:szCs w:val="22"/>
        </w:rPr>
      </w:pPr>
      <w:r>
        <w:rPr>
          <w:rFonts w:hint="eastAsia" w:eastAsia="仿宋_GB2312"/>
          <w:b/>
          <w:sz w:val="32"/>
          <w:szCs w:val="22"/>
        </w:rPr>
        <w:t>2.4.2医疗救护组</w:t>
      </w:r>
    </w:p>
    <w:p>
      <w:pPr>
        <w:adjustRightInd w:val="0"/>
        <w:snapToGrid w:val="0"/>
        <w:spacing w:line="560" w:lineRule="exact"/>
        <w:ind w:firstLine="640" w:firstLineChars="200"/>
        <w:rPr>
          <w:rFonts w:eastAsia="仿宋_GB2312"/>
          <w:sz w:val="32"/>
          <w:szCs w:val="22"/>
        </w:rPr>
      </w:pPr>
      <w:r>
        <w:rPr>
          <w:rFonts w:eastAsia="仿宋_GB2312"/>
          <w:sz w:val="32"/>
          <w:szCs w:val="22"/>
        </w:rPr>
        <w:t>牵头单位</w:t>
      </w:r>
      <w:r>
        <w:rPr>
          <w:rFonts w:hint="eastAsia" w:eastAsia="仿宋_GB2312"/>
          <w:sz w:val="32"/>
          <w:szCs w:val="22"/>
        </w:rPr>
        <w:t>：区卫健局</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成员单位：区城管局、区住建局、区交通局、事故涉及的供热企业、事发街办（园办）等单位配合。</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职责：负责组织协调医疗卫生机构对受伤人员进行转运和救治，监督相关药品和医疗器械的使用安全；并完成应急指挥部交办的其他工作。</w:t>
      </w:r>
    </w:p>
    <w:p>
      <w:pPr>
        <w:adjustRightInd w:val="0"/>
        <w:snapToGrid w:val="0"/>
        <w:spacing w:line="560" w:lineRule="exact"/>
        <w:ind w:firstLine="643" w:firstLineChars="200"/>
        <w:rPr>
          <w:rFonts w:eastAsia="仿宋_GB2312"/>
          <w:b/>
          <w:sz w:val="32"/>
          <w:szCs w:val="22"/>
        </w:rPr>
      </w:pPr>
      <w:r>
        <w:rPr>
          <w:rFonts w:hint="eastAsia" w:eastAsia="仿宋_GB2312"/>
          <w:b/>
          <w:sz w:val="32"/>
          <w:szCs w:val="22"/>
        </w:rPr>
        <w:t>2.4.3风险监测组</w:t>
      </w:r>
    </w:p>
    <w:p>
      <w:pPr>
        <w:adjustRightInd w:val="0"/>
        <w:snapToGrid w:val="0"/>
        <w:spacing w:line="560" w:lineRule="exact"/>
        <w:ind w:firstLine="640" w:firstLineChars="200"/>
        <w:rPr>
          <w:rFonts w:eastAsia="仿宋_GB2312"/>
          <w:sz w:val="32"/>
          <w:szCs w:val="22"/>
        </w:rPr>
      </w:pPr>
      <w:r>
        <w:rPr>
          <w:rFonts w:eastAsia="仿宋_GB2312"/>
          <w:sz w:val="32"/>
          <w:szCs w:val="22"/>
        </w:rPr>
        <w:t>牵头单位：生态环境</w:t>
      </w:r>
      <w:r>
        <w:rPr>
          <w:rFonts w:hint="eastAsia" w:eastAsia="仿宋_GB2312"/>
          <w:sz w:val="32"/>
          <w:szCs w:val="22"/>
        </w:rPr>
        <w:t>雁塔分</w:t>
      </w:r>
      <w:r>
        <w:rPr>
          <w:rFonts w:eastAsia="仿宋_GB2312"/>
          <w:sz w:val="32"/>
          <w:szCs w:val="22"/>
        </w:rPr>
        <w:t>局</w:t>
      </w:r>
    </w:p>
    <w:p>
      <w:pPr>
        <w:adjustRightInd w:val="0"/>
        <w:snapToGrid w:val="0"/>
        <w:spacing w:line="560" w:lineRule="exact"/>
        <w:ind w:firstLine="640" w:firstLineChars="200"/>
        <w:rPr>
          <w:rFonts w:eastAsia="仿宋_GB2312"/>
          <w:sz w:val="32"/>
          <w:szCs w:val="22"/>
        </w:rPr>
      </w:pPr>
      <w:r>
        <w:rPr>
          <w:rFonts w:eastAsia="仿宋_GB2312"/>
          <w:sz w:val="32"/>
          <w:szCs w:val="22"/>
        </w:rPr>
        <w:t>成员单位：</w:t>
      </w:r>
      <w:r>
        <w:rPr>
          <w:rFonts w:hint="eastAsia" w:eastAsia="仿宋_GB2312"/>
          <w:sz w:val="32"/>
          <w:szCs w:val="22"/>
        </w:rPr>
        <w:t>区城管局</w:t>
      </w:r>
      <w:r>
        <w:rPr>
          <w:rFonts w:eastAsia="仿宋_GB2312"/>
          <w:sz w:val="32"/>
          <w:szCs w:val="22"/>
        </w:rPr>
        <w:t>、</w:t>
      </w:r>
      <w:r>
        <w:rPr>
          <w:rFonts w:hint="eastAsia" w:eastAsia="仿宋_GB2312"/>
          <w:sz w:val="32"/>
          <w:szCs w:val="22"/>
        </w:rPr>
        <w:t>资源规划雁塔分局</w:t>
      </w:r>
      <w:r>
        <w:rPr>
          <w:rFonts w:eastAsia="仿宋_GB2312"/>
          <w:sz w:val="32"/>
          <w:szCs w:val="22"/>
        </w:rPr>
        <w:t>、</w:t>
      </w:r>
      <w:r>
        <w:rPr>
          <w:rFonts w:hint="eastAsia" w:eastAsia="仿宋_GB2312"/>
          <w:sz w:val="32"/>
          <w:szCs w:val="22"/>
        </w:rPr>
        <w:t>区住建局</w:t>
      </w:r>
      <w:r>
        <w:rPr>
          <w:rFonts w:eastAsia="仿宋_GB2312"/>
          <w:sz w:val="32"/>
          <w:szCs w:val="22"/>
        </w:rPr>
        <w:t>、</w:t>
      </w:r>
      <w:r>
        <w:rPr>
          <w:rFonts w:hint="eastAsia" w:eastAsia="仿宋_GB2312"/>
          <w:sz w:val="32"/>
          <w:szCs w:val="22"/>
        </w:rPr>
        <w:t>区人社局</w:t>
      </w:r>
      <w:r>
        <w:rPr>
          <w:rFonts w:eastAsia="仿宋_GB2312"/>
          <w:sz w:val="32"/>
          <w:szCs w:val="22"/>
        </w:rPr>
        <w:t>、</w:t>
      </w:r>
      <w:r>
        <w:rPr>
          <w:rFonts w:hint="eastAsia" w:eastAsia="仿宋_GB2312"/>
          <w:sz w:val="32"/>
          <w:szCs w:val="22"/>
        </w:rPr>
        <w:t>雁塔消防救援大队</w:t>
      </w:r>
      <w:r>
        <w:rPr>
          <w:rFonts w:eastAsia="仿宋_GB2312"/>
          <w:sz w:val="32"/>
          <w:szCs w:val="22"/>
        </w:rPr>
        <w:t>、</w:t>
      </w:r>
      <w:r>
        <w:rPr>
          <w:rFonts w:hint="eastAsia" w:eastAsia="仿宋_GB2312"/>
          <w:sz w:val="32"/>
          <w:szCs w:val="22"/>
        </w:rPr>
        <w:t>事故涉及的供热企业</w:t>
      </w:r>
      <w:r>
        <w:rPr>
          <w:rFonts w:eastAsia="仿宋_GB2312"/>
          <w:sz w:val="32"/>
          <w:szCs w:val="22"/>
        </w:rPr>
        <w:t>。</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主要</w:t>
      </w:r>
      <w:r>
        <w:rPr>
          <w:rFonts w:eastAsia="仿宋_GB2312"/>
          <w:sz w:val="32"/>
          <w:szCs w:val="22"/>
        </w:rPr>
        <w:t>职责：负责事故现场环境监测，提出污染控制与处置建议；负责监测供热设施状态、道路和建筑物沉降、管网和管线状态、点火源、周边空气中特征污染物浓度、气象条件等；负责组织现场废弃物的收集、处理；负责事故衍生灾害防治工作；报送相关信息。</w:t>
      </w:r>
    </w:p>
    <w:p>
      <w:pPr>
        <w:adjustRightInd w:val="0"/>
        <w:snapToGrid w:val="0"/>
        <w:spacing w:line="560" w:lineRule="exact"/>
        <w:ind w:firstLine="643" w:firstLineChars="200"/>
        <w:rPr>
          <w:rFonts w:eastAsia="仿宋_GB2312"/>
          <w:b/>
          <w:sz w:val="32"/>
          <w:szCs w:val="22"/>
        </w:rPr>
      </w:pPr>
      <w:r>
        <w:rPr>
          <w:rFonts w:hint="eastAsia" w:eastAsia="仿宋_GB2312"/>
          <w:b/>
          <w:sz w:val="32"/>
          <w:szCs w:val="22"/>
        </w:rPr>
        <w:t>2.4.4警戒疏散组</w:t>
      </w:r>
    </w:p>
    <w:p>
      <w:pPr>
        <w:adjustRightInd w:val="0"/>
        <w:snapToGrid w:val="0"/>
        <w:spacing w:line="560" w:lineRule="exact"/>
        <w:ind w:firstLine="640" w:firstLineChars="200"/>
        <w:rPr>
          <w:rFonts w:eastAsia="仿宋_GB2312"/>
          <w:sz w:val="32"/>
          <w:szCs w:val="22"/>
        </w:rPr>
      </w:pPr>
      <w:r>
        <w:rPr>
          <w:rFonts w:eastAsia="仿宋_GB2312"/>
          <w:sz w:val="32"/>
          <w:szCs w:val="22"/>
        </w:rPr>
        <w:t>牵头单位：公安</w:t>
      </w:r>
      <w:r>
        <w:rPr>
          <w:rFonts w:hint="eastAsia" w:eastAsia="仿宋_GB2312"/>
          <w:sz w:val="32"/>
          <w:szCs w:val="22"/>
        </w:rPr>
        <w:t>雁塔分局</w:t>
      </w:r>
    </w:p>
    <w:p>
      <w:pPr>
        <w:adjustRightInd w:val="0"/>
        <w:snapToGrid w:val="0"/>
        <w:spacing w:line="560" w:lineRule="exact"/>
        <w:ind w:firstLine="640" w:firstLineChars="200"/>
        <w:rPr>
          <w:rFonts w:eastAsia="仿宋_GB2312"/>
          <w:sz w:val="32"/>
          <w:szCs w:val="22"/>
        </w:rPr>
      </w:pPr>
      <w:r>
        <w:rPr>
          <w:rFonts w:eastAsia="仿宋_GB2312"/>
          <w:sz w:val="32"/>
          <w:szCs w:val="22"/>
        </w:rPr>
        <w:t>成员单位：交警</w:t>
      </w:r>
      <w:r>
        <w:rPr>
          <w:rFonts w:hint="eastAsia" w:eastAsia="仿宋_GB2312"/>
          <w:sz w:val="32"/>
          <w:szCs w:val="22"/>
        </w:rPr>
        <w:t>雁塔</w:t>
      </w:r>
      <w:r>
        <w:rPr>
          <w:rFonts w:eastAsia="仿宋_GB2312"/>
          <w:sz w:val="32"/>
          <w:szCs w:val="22"/>
        </w:rPr>
        <w:t>大队、</w:t>
      </w:r>
      <w:r>
        <w:rPr>
          <w:rFonts w:hint="eastAsia" w:eastAsia="仿宋_GB2312"/>
          <w:sz w:val="32"/>
          <w:szCs w:val="22"/>
        </w:rPr>
        <w:t>区城管局</w:t>
      </w:r>
      <w:r>
        <w:rPr>
          <w:rFonts w:eastAsia="仿宋_GB2312"/>
          <w:sz w:val="32"/>
          <w:szCs w:val="22"/>
        </w:rPr>
        <w:t>、</w:t>
      </w:r>
      <w:r>
        <w:rPr>
          <w:rFonts w:hint="eastAsia" w:eastAsia="仿宋_GB2312"/>
          <w:sz w:val="32"/>
          <w:szCs w:val="22"/>
        </w:rPr>
        <w:t>区交通局、事发街办（园办）、事故涉及的供热企业等</w:t>
      </w:r>
      <w:r>
        <w:rPr>
          <w:rFonts w:eastAsia="仿宋_GB2312"/>
          <w:sz w:val="32"/>
          <w:szCs w:val="22"/>
        </w:rPr>
        <w:t>。</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主要</w:t>
      </w:r>
      <w:r>
        <w:rPr>
          <w:rFonts w:eastAsia="仿宋_GB2312"/>
          <w:sz w:val="32"/>
          <w:szCs w:val="22"/>
        </w:rPr>
        <w:t>职责：负责事故现场的警戒管控，保护事故现场，维护秩序、疏导交通，开辟应急处置和人员疏散专用路线；组织可能受到事故影响的区域内的人员疏散避险，维持秩序；协调相关公共交通运力开展疏散转运工作。</w:t>
      </w:r>
    </w:p>
    <w:p>
      <w:pPr>
        <w:adjustRightInd w:val="0"/>
        <w:snapToGrid w:val="0"/>
        <w:spacing w:line="560" w:lineRule="exact"/>
        <w:ind w:firstLine="643" w:firstLineChars="200"/>
        <w:rPr>
          <w:rFonts w:eastAsia="仿宋_GB2312"/>
          <w:b/>
          <w:sz w:val="32"/>
          <w:szCs w:val="22"/>
        </w:rPr>
      </w:pPr>
      <w:r>
        <w:rPr>
          <w:rFonts w:hint="eastAsia" w:eastAsia="仿宋_GB2312"/>
          <w:b/>
          <w:sz w:val="32"/>
          <w:szCs w:val="22"/>
        </w:rPr>
        <w:t>2.4.5宣传舆情组</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牵头单位：区委宣传部</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成员单位：区委网信办、区城管局、事发街办（园办）等单位配合。</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主要职责：</w:t>
      </w:r>
      <w:r>
        <w:rPr>
          <w:rFonts w:eastAsia="仿宋_GB2312"/>
          <w:sz w:val="32"/>
          <w:szCs w:val="22"/>
        </w:rPr>
        <w:t>负责组织相关成员单位发布</w:t>
      </w:r>
      <w:r>
        <w:rPr>
          <w:rFonts w:hint="eastAsia" w:eastAsia="仿宋_GB2312"/>
          <w:sz w:val="32"/>
          <w:szCs w:val="22"/>
        </w:rPr>
        <w:t>集中供热事故</w:t>
      </w:r>
      <w:r>
        <w:rPr>
          <w:rFonts w:eastAsia="仿宋_GB2312"/>
          <w:sz w:val="32"/>
          <w:szCs w:val="22"/>
        </w:rPr>
        <w:t>事中和事后信</w:t>
      </w:r>
      <w:r>
        <w:rPr>
          <w:rFonts w:hint="eastAsia" w:eastAsia="仿宋_GB2312"/>
          <w:sz w:val="32"/>
          <w:szCs w:val="22"/>
        </w:rPr>
        <w:t>息，统一进行现场媒体接待；组织开展舆情的监测和应对。</w:t>
      </w:r>
    </w:p>
    <w:p>
      <w:pPr>
        <w:adjustRightInd w:val="0"/>
        <w:snapToGrid w:val="0"/>
        <w:spacing w:line="560" w:lineRule="exact"/>
        <w:ind w:firstLine="643" w:firstLineChars="200"/>
        <w:rPr>
          <w:rFonts w:eastAsia="仿宋_GB2312"/>
          <w:b/>
          <w:sz w:val="32"/>
          <w:szCs w:val="22"/>
        </w:rPr>
      </w:pPr>
      <w:r>
        <w:rPr>
          <w:rFonts w:hint="eastAsia" w:eastAsia="仿宋_GB2312"/>
          <w:b/>
          <w:sz w:val="32"/>
          <w:szCs w:val="22"/>
        </w:rPr>
        <w:t>2.4.6安全稳定组</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牵头单位：区委政法委</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成员单位：公安雁塔分局、区教育局、区科工局、区商务局、交警雁塔大队、事发街办（园办）等单位配合。</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主要职责：负责组织集中供热事故现场的安保维稳、治安管理和交通疏导工作，严厉打击编造传播谣言、制造社会恐慌等违法行为，做好矛盾纠纷化解和法律服务；依法及时有效处置由集中供热事故引起的影响社会稳定问题。</w:t>
      </w:r>
    </w:p>
    <w:p>
      <w:pPr>
        <w:adjustRightInd w:val="0"/>
        <w:snapToGrid w:val="0"/>
        <w:spacing w:line="560" w:lineRule="exact"/>
        <w:ind w:firstLine="643" w:firstLineChars="200"/>
        <w:rPr>
          <w:rFonts w:eastAsia="仿宋_GB2312"/>
          <w:b/>
          <w:sz w:val="32"/>
          <w:szCs w:val="22"/>
        </w:rPr>
      </w:pPr>
      <w:r>
        <w:rPr>
          <w:rFonts w:hint="eastAsia" w:eastAsia="仿宋_GB2312"/>
          <w:b/>
          <w:sz w:val="32"/>
          <w:szCs w:val="22"/>
        </w:rPr>
        <w:t>2.4.7物资保障组</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牵头单位：区城管局</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成员单位：区科工局、区财政局、区交通局、区发改委、区卫健局、区农水局、区</w:t>
      </w:r>
      <w:r>
        <w:rPr>
          <w:rFonts w:eastAsia="仿宋_GB2312"/>
          <w:sz w:val="32"/>
          <w:szCs w:val="22"/>
        </w:rPr>
        <w:t>城投</w:t>
      </w:r>
      <w:r>
        <w:rPr>
          <w:rFonts w:hint="eastAsia" w:eastAsia="仿宋_GB2312"/>
          <w:sz w:val="32"/>
          <w:szCs w:val="22"/>
        </w:rPr>
        <w:t>公司、</w:t>
      </w:r>
      <w:r>
        <w:rPr>
          <w:rFonts w:eastAsia="仿宋_GB2312"/>
          <w:sz w:val="32"/>
          <w:szCs w:val="22"/>
        </w:rPr>
        <w:t>西安</w:t>
      </w:r>
      <w:r>
        <w:rPr>
          <w:rFonts w:hint="eastAsia" w:eastAsia="仿宋_GB2312"/>
          <w:sz w:val="32"/>
          <w:szCs w:val="22"/>
        </w:rPr>
        <w:t>排水</w:t>
      </w:r>
      <w:r>
        <w:rPr>
          <w:rFonts w:eastAsia="仿宋_GB2312"/>
          <w:sz w:val="32"/>
          <w:szCs w:val="22"/>
        </w:rPr>
        <w:t>集团</w:t>
      </w:r>
      <w:r>
        <w:rPr>
          <w:rFonts w:hint="eastAsia" w:eastAsia="仿宋_GB2312"/>
          <w:sz w:val="32"/>
          <w:szCs w:val="22"/>
        </w:rPr>
        <w:t xml:space="preserve">南郊（东郊、西郊）分公司、事故涉及的燃气企业、事发街办（园办）等单位配合。  </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主要职责：</w:t>
      </w:r>
      <w:r>
        <w:rPr>
          <w:rFonts w:eastAsia="仿宋_GB2312"/>
          <w:sz w:val="32"/>
          <w:szCs w:val="22"/>
        </w:rPr>
        <w:t>负责保障指挥通信、抢险救援、疏散转移、医疗救助、</w:t>
      </w:r>
      <w:r>
        <w:rPr>
          <w:rFonts w:hint="eastAsia" w:eastAsia="仿宋_GB2312"/>
          <w:sz w:val="32"/>
          <w:szCs w:val="22"/>
        </w:rPr>
        <w:t>现场办公所需的装备、设备和物资，并根据需要协调相关装备、设备和物资的生产和征用；根据应急处置需要，拨付应急资金；保障因集中供热事故受到影响的燃气、水电临时供应。</w:t>
      </w:r>
    </w:p>
    <w:p>
      <w:pPr>
        <w:adjustRightInd w:val="0"/>
        <w:snapToGrid w:val="0"/>
        <w:spacing w:line="560" w:lineRule="exact"/>
        <w:ind w:firstLine="643" w:firstLineChars="200"/>
        <w:rPr>
          <w:rFonts w:eastAsia="仿宋_GB2312"/>
          <w:b/>
          <w:sz w:val="32"/>
          <w:szCs w:val="22"/>
        </w:rPr>
      </w:pPr>
      <w:r>
        <w:rPr>
          <w:rFonts w:hint="eastAsia" w:eastAsia="仿宋_GB2312"/>
          <w:b/>
          <w:sz w:val="32"/>
          <w:szCs w:val="22"/>
        </w:rPr>
        <w:t>2.4.8事故调查组</w:t>
      </w:r>
    </w:p>
    <w:p>
      <w:pPr>
        <w:adjustRightInd w:val="0"/>
        <w:snapToGrid w:val="0"/>
        <w:spacing w:line="560" w:lineRule="exact"/>
        <w:ind w:firstLine="640" w:firstLineChars="200"/>
        <w:rPr>
          <w:rFonts w:eastAsia="仿宋_GB2312"/>
          <w:sz w:val="32"/>
          <w:szCs w:val="22"/>
        </w:rPr>
      </w:pPr>
      <w:r>
        <w:rPr>
          <w:rFonts w:eastAsia="仿宋_GB2312"/>
          <w:sz w:val="32"/>
          <w:szCs w:val="22"/>
        </w:rPr>
        <w:t>牵头单位：</w:t>
      </w:r>
      <w:r>
        <w:rPr>
          <w:rFonts w:hint="eastAsia" w:eastAsia="仿宋_GB2312"/>
          <w:sz w:val="32"/>
          <w:szCs w:val="22"/>
        </w:rPr>
        <w:t>区应急管理局</w:t>
      </w:r>
    </w:p>
    <w:p>
      <w:pPr>
        <w:adjustRightInd w:val="0"/>
        <w:snapToGrid w:val="0"/>
        <w:spacing w:line="560" w:lineRule="exact"/>
        <w:ind w:firstLine="640" w:firstLineChars="200"/>
        <w:rPr>
          <w:rFonts w:eastAsia="仿宋_GB2312"/>
          <w:sz w:val="32"/>
          <w:szCs w:val="22"/>
        </w:rPr>
      </w:pPr>
      <w:r>
        <w:rPr>
          <w:rFonts w:eastAsia="仿宋_GB2312"/>
          <w:sz w:val="32"/>
          <w:szCs w:val="22"/>
        </w:rPr>
        <w:t>成员单位：</w:t>
      </w:r>
      <w:r>
        <w:rPr>
          <w:rFonts w:hint="eastAsia" w:eastAsia="仿宋_GB2312"/>
          <w:sz w:val="32"/>
          <w:szCs w:val="22"/>
        </w:rPr>
        <w:t>区城管局</w:t>
      </w:r>
      <w:r>
        <w:rPr>
          <w:rFonts w:eastAsia="仿宋_GB2312"/>
          <w:sz w:val="32"/>
          <w:szCs w:val="22"/>
        </w:rPr>
        <w:t>、</w:t>
      </w:r>
      <w:r>
        <w:rPr>
          <w:rFonts w:hint="eastAsia" w:eastAsia="仿宋_GB2312"/>
          <w:sz w:val="32"/>
          <w:szCs w:val="22"/>
        </w:rPr>
        <w:t>区住建局、事发街办（园办）、事故涉及的燃气企业等</w:t>
      </w:r>
      <w:r>
        <w:rPr>
          <w:rFonts w:eastAsia="仿宋_GB2312"/>
          <w:sz w:val="32"/>
          <w:szCs w:val="22"/>
        </w:rPr>
        <w:t>。</w:t>
      </w:r>
    </w:p>
    <w:p>
      <w:pPr>
        <w:adjustRightInd w:val="0"/>
        <w:snapToGrid w:val="0"/>
        <w:spacing w:line="560" w:lineRule="exact"/>
        <w:ind w:firstLine="640" w:firstLineChars="200"/>
        <w:rPr>
          <w:rFonts w:eastAsia="仿宋_GB2312"/>
          <w:sz w:val="32"/>
          <w:szCs w:val="22"/>
        </w:rPr>
      </w:pPr>
      <w:r>
        <w:rPr>
          <w:rFonts w:eastAsia="仿宋_GB2312"/>
          <w:sz w:val="32"/>
          <w:szCs w:val="22"/>
        </w:rPr>
        <w:t>职责：根据法律、法规要求，开展事故事件的调查取证、现场勘验、证据收集、原因分析、报告编制等工作；开展对有关人员的约谈、配合市应急局调查分析事故发生的主要原因；按“四不放过”的原则对事故相关责任人提出处理意见。</w:t>
      </w:r>
    </w:p>
    <w:p>
      <w:pPr>
        <w:adjustRightInd w:val="0"/>
        <w:snapToGrid w:val="0"/>
        <w:spacing w:line="560" w:lineRule="exact"/>
        <w:ind w:firstLine="643" w:firstLineChars="200"/>
        <w:rPr>
          <w:rFonts w:eastAsia="仿宋_GB2312"/>
          <w:b/>
          <w:sz w:val="32"/>
          <w:szCs w:val="22"/>
        </w:rPr>
      </w:pPr>
      <w:bookmarkStart w:id="26" w:name="_Toc26299"/>
      <w:bookmarkStart w:id="27" w:name="_Toc6073"/>
      <w:bookmarkStart w:id="28" w:name="_Toc31217"/>
      <w:r>
        <w:rPr>
          <w:rFonts w:hint="eastAsia" w:eastAsia="仿宋_GB2312"/>
          <w:b/>
          <w:sz w:val="32"/>
          <w:szCs w:val="22"/>
        </w:rPr>
        <w:t>2.4.9专家指导组</w:t>
      </w:r>
      <w:bookmarkEnd w:id="26"/>
      <w:bookmarkEnd w:id="27"/>
      <w:bookmarkEnd w:id="28"/>
    </w:p>
    <w:p>
      <w:pPr>
        <w:adjustRightInd w:val="0"/>
        <w:snapToGrid w:val="0"/>
        <w:spacing w:line="560" w:lineRule="exact"/>
        <w:ind w:firstLine="640" w:firstLineChars="200"/>
        <w:rPr>
          <w:rFonts w:eastAsia="仿宋_GB2312"/>
          <w:sz w:val="32"/>
          <w:szCs w:val="22"/>
        </w:rPr>
      </w:pPr>
      <w:r>
        <w:rPr>
          <w:rFonts w:hint="eastAsia" w:eastAsia="仿宋_GB2312"/>
          <w:sz w:val="32"/>
          <w:szCs w:val="22"/>
        </w:rPr>
        <w:t>在集中供热事故预警发布、应急响应和后期处置期间，由区应急指挥部邀请或聘请</w:t>
      </w:r>
      <w:r>
        <w:rPr>
          <w:rFonts w:eastAsia="仿宋_GB2312"/>
          <w:sz w:val="32"/>
          <w:szCs w:val="22"/>
        </w:rPr>
        <w:t>供热</w:t>
      </w:r>
      <w:r>
        <w:rPr>
          <w:rFonts w:hint="eastAsia" w:eastAsia="仿宋_GB2312"/>
          <w:sz w:val="32"/>
          <w:szCs w:val="22"/>
        </w:rPr>
        <w:t>、抢险救援、舆情应对、应急管理等领域专家组成专家指导组，为集中供热事故的预警行动、抢险救援、风险监测、警戒疏散、善后处置和恢复重建等工作提供科学有效的技术支持及决策咨询，必要时直接参与应急处置工作。</w:t>
      </w:r>
    </w:p>
    <w:p>
      <w:pPr>
        <w:adjustRightInd w:val="0"/>
        <w:snapToGrid w:val="0"/>
        <w:spacing w:line="560" w:lineRule="exact"/>
        <w:ind w:firstLine="640" w:firstLineChars="200"/>
        <w:rPr>
          <w:rFonts w:eastAsia="仿宋_GB2312"/>
          <w:sz w:val="32"/>
          <w:szCs w:val="22"/>
        </w:rPr>
      </w:pPr>
      <w:bookmarkStart w:id="29" w:name="_Toc4104"/>
      <w:bookmarkStart w:id="30" w:name="_Toc3555"/>
      <w:r>
        <w:rPr>
          <w:rFonts w:hint="eastAsia" w:ascii="黑体" w:hAnsi="黑体" w:eastAsia="黑体"/>
          <w:sz w:val="32"/>
          <w:szCs w:val="22"/>
        </w:rPr>
        <w:t>3监测预警</w:t>
      </w:r>
      <w:bookmarkEnd w:id="29"/>
      <w:bookmarkEnd w:id="30"/>
    </w:p>
    <w:p>
      <w:pPr>
        <w:adjustRightInd w:val="0"/>
        <w:snapToGrid w:val="0"/>
        <w:spacing w:line="560" w:lineRule="exact"/>
        <w:ind w:firstLine="643" w:firstLineChars="200"/>
        <w:rPr>
          <w:rFonts w:eastAsia="仿宋_GB2312"/>
          <w:b/>
          <w:bCs/>
          <w:sz w:val="32"/>
          <w:szCs w:val="22"/>
        </w:rPr>
      </w:pPr>
      <w:bookmarkStart w:id="31" w:name="_Toc3597"/>
      <w:bookmarkStart w:id="32" w:name="_Toc30586"/>
      <w:r>
        <w:rPr>
          <w:rFonts w:hint="eastAsia" w:eastAsia="仿宋_GB2312"/>
          <w:b/>
          <w:bCs/>
          <w:sz w:val="32"/>
          <w:szCs w:val="22"/>
        </w:rPr>
        <w:t>3.1预防</w:t>
      </w:r>
      <w:bookmarkEnd w:id="31"/>
      <w:bookmarkEnd w:id="32"/>
    </w:p>
    <w:p>
      <w:pPr>
        <w:adjustRightInd w:val="0"/>
        <w:snapToGrid w:val="0"/>
        <w:spacing w:line="560" w:lineRule="exact"/>
        <w:ind w:firstLine="640" w:firstLineChars="200"/>
        <w:rPr>
          <w:rFonts w:eastAsia="仿宋_GB2312"/>
          <w:sz w:val="32"/>
          <w:szCs w:val="22"/>
        </w:rPr>
      </w:pPr>
      <w:bookmarkStart w:id="33" w:name="_Toc21626"/>
      <w:r>
        <w:rPr>
          <w:rFonts w:eastAsia="仿宋_GB2312"/>
          <w:sz w:val="32"/>
          <w:szCs w:val="22"/>
        </w:rPr>
        <w:t>区</w:t>
      </w:r>
      <w:r>
        <w:rPr>
          <w:rFonts w:hint="eastAsia" w:eastAsia="仿宋_GB2312"/>
          <w:sz w:val="32"/>
          <w:szCs w:val="22"/>
        </w:rPr>
        <w:t>应急指挥部</w:t>
      </w:r>
      <w:r>
        <w:rPr>
          <w:rFonts w:eastAsia="仿宋_GB2312"/>
          <w:sz w:val="32"/>
          <w:szCs w:val="22"/>
        </w:rPr>
        <w:t>办公室牵头，相关成员单位协助或参与，制定督导检查计划，开展针对各供热企业、用户的全面检查、专项检查、随机检查，督导其风险分级管控和隐患排查治理工作，形成工作台账，定期分析评估风险隐患，按照早发现、早报告、早处置的原则，监督风险隐患整改落实工作，对重大隐患进行挂牌督办，对可能引发的供热事故及时进行预警，对气象、地震、国土等部门发布的预警信息进行传播，提出防范应对要求。</w:t>
      </w:r>
    </w:p>
    <w:p>
      <w:pPr>
        <w:adjustRightInd w:val="0"/>
        <w:snapToGrid w:val="0"/>
        <w:spacing w:line="560" w:lineRule="exact"/>
        <w:ind w:firstLine="640" w:firstLineChars="200"/>
        <w:rPr>
          <w:rFonts w:eastAsia="仿宋_GB2312"/>
          <w:sz w:val="32"/>
          <w:szCs w:val="22"/>
        </w:rPr>
      </w:pPr>
      <w:r>
        <w:rPr>
          <w:rFonts w:eastAsia="仿宋_GB2312"/>
          <w:sz w:val="32"/>
          <w:szCs w:val="22"/>
        </w:rPr>
        <w:t>各供热企业、用户要加强对本单位的供热风险评估工作，并按照职责分工加强供热安全生产检查、风险隐患排查及隐患整改，及时发现隐患，按照“定人员、定责任、定措施、定时限、定资金”的原则进行整改，确保隐患整改到位。</w:t>
      </w:r>
    </w:p>
    <w:p>
      <w:pPr>
        <w:adjustRightInd w:val="0"/>
        <w:snapToGrid w:val="0"/>
        <w:spacing w:line="560" w:lineRule="exact"/>
        <w:ind w:firstLine="643" w:firstLineChars="200"/>
        <w:rPr>
          <w:rFonts w:eastAsia="仿宋_GB2312"/>
          <w:b/>
          <w:bCs/>
          <w:sz w:val="32"/>
          <w:szCs w:val="22"/>
        </w:rPr>
      </w:pPr>
      <w:bookmarkStart w:id="34" w:name="_Toc433"/>
      <w:r>
        <w:rPr>
          <w:rFonts w:hint="eastAsia" w:eastAsia="仿宋_GB2312"/>
          <w:b/>
          <w:bCs/>
          <w:sz w:val="32"/>
          <w:szCs w:val="22"/>
        </w:rPr>
        <w:t>3.2监测</w:t>
      </w:r>
      <w:bookmarkEnd w:id="33"/>
      <w:bookmarkEnd w:id="34"/>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应急指挥部办公室牵头，指挥部各成员单位配合，建立集中供热事故信息监测预警体系，通过日常巡查、基层单位上报、社会公众投诉等多种渠道收集信息；市、区级部门发布预警后，应对重点部位，危险源进行持续性监测，有针对性地提出防范工作要求。</w:t>
      </w:r>
    </w:p>
    <w:p>
      <w:pPr>
        <w:adjustRightInd w:val="0"/>
        <w:snapToGrid w:val="0"/>
        <w:spacing w:line="560" w:lineRule="exact"/>
        <w:ind w:firstLine="643" w:firstLineChars="200"/>
        <w:rPr>
          <w:rFonts w:eastAsia="仿宋_GB2312"/>
          <w:b/>
          <w:bCs/>
          <w:sz w:val="32"/>
          <w:szCs w:val="22"/>
        </w:rPr>
      </w:pPr>
      <w:bookmarkStart w:id="35" w:name="_Toc19539"/>
      <w:bookmarkStart w:id="36" w:name="_Toc26942"/>
      <w:r>
        <w:rPr>
          <w:rFonts w:hint="eastAsia" w:eastAsia="仿宋_GB2312"/>
          <w:b/>
          <w:bCs/>
          <w:sz w:val="32"/>
          <w:szCs w:val="22"/>
        </w:rPr>
        <w:t>3.3评估</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在信息监测的基础上，区集中应急指挥部办公室根据对监测信息的分析、汇总情况，及时对隐患进行评估，必要时请相关专家进行会商研判、评估，迅速对集中供热事故产生的原因、不利因素及发展趋势进行评估，为下一步采取预防措施提供依据；对于外地已发生的集中供热事故也应按照“高度敏感、注重关联”的原则做好防范、预测，及时完善防控应对措施。</w:t>
      </w:r>
    </w:p>
    <w:p>
      <w:pPr>
        <w:adjustRightInd w:val="0"/>
        <w:snapToGrid w:val="0"/>
        <w:spacing w:line="560" w:lineRule="exact"/>
        <w:ind w:firstLine="643" w:firstLineChars="200"/>
        <w:rPr>
          <w:rFonts w:eastAsia="仿宋_GB2312"/>
          <w:b/>
          <w:bCs/>
          <w:sz w:val="32"/>
          <w:szCs w:val="22"/>
        </w:rPr>
      </w:pPr>
      <w:r>
        <w:rPr>
          <w:rFonts w:hint="eastAsia" w:eastAsia="仿宋_GB2312"/>
          <w:b/>
          <w:bCs/>
          <w:sz w:val="32"/>
          <w:szCs w:val="22"/>
        </w:rPr>
        <w:t>3.4预警</w:t>
      </w:r>
      <w:bookmarkEnd w:id="35"/>
      <w:bookmarkEnd w:id="36"/>
    </w:p>
    <w:p>
      <w:pPr>
        <w:adjustRightInd w:val="0"/>
        <w:snapToGrid w:val="0"/>
        <w:spacing w:line="560" w:lineRule="exact"/>
        <w:ind w:firstLine="643" w:firstLineChars="200"/>
        <w:rPr>
          <w:rFonts w:eastAsia="仿宋_GB2312"/>
          <w:b/>
          <w:sz w:val="32"/>
          <w:szCs w:val="22"/>
        </w:rPr>
      </w:pPr>
      <w:r>
        <w:rPr>
          <w:rFonts w:hint="eastAsia" w:eastAsia="仿宋_GB2312"/>
          <w:b/>
          <w:sz w:val="32"/>
          <w:szCs w:val="22"/>
        </w:rPr>
        <w:t>3.4.1</w:t>
      </w:r>
      <w:r>
        <w:rPr>
          <w:rFonts w:eastAsia="仿宋_GB2312"/>
          <w:b/>
          <w:sz w:val="32"/>
          <w:szCs w:val="22"/>
        </w:rPr>
        <w:t>预警分级</w:t>
      </w:r>
    </w:p>
    <w:p>
      <w:pPr>
        <w:adjustRightInd w:val="0"/>
        <w:snapToGrid w:val="0"/>
        <w:spacing w:line="560" w:lineRule="exact"/>
        <w:ind w:firstLine="640" w:firstLineChars="200"/>
        <w:rPr>
          <w:rFonts w:eastAsia="仿宋_GB2312"/>
          <w:sz w:val="32"/>
          <w:szCs w:val="22"/>
        </w:rPr>
      </w:pPr>
      <w:r>
        <w:rPr>
          <w:rFonts w:eastAsia="仿宋_GB2312"/>
          <w:sz w:val="32"/>
          <w:szCs w:val="22"/>
        </w:rPr>
        <w:t>依据供热事故分级，供热事故预警分为四个级别，由高到低分别用红色、橙色、黄色、蓝色表示，预警级别与供热事故分级相对应，可随事态发展进行升级、降级或解除。</w:t>
      </w:r>
    </w:p>
    <w:p>
      <w:pPr>
        <w:adjustRightInd w:val="0"/>
        <w:snapToGrid w:val="0"/>
        <w:spacing w:line="560" w:lineRule="exact"/>
        <w:ind w:firstLine="640" w:firstLineChars="200"/>
        <w:rPr>
          <w:rFonts w:eastAsia="仿宋_GB2312"/>
          <w:sz w:val="32"/>
          <w:szCs w:val="22"/>
        </w:rPr>
      </w:pPr>
      <w:r>
        <w:rPr>
          <w:rFonts w:eastAsia="仿宋_GB2312"/>
          <w:sz w:val="32"/>
          <w:szCs w:val="22"/>
        </w:rPr>
        <w:t>蓝色预警：可能造成1千户以上1万户以下居民连续停热24小时以上的；经区</w:t>
      </w:r>
      <w:r>
        <w:rPr>
          <w:rFonts w:hint="eastAsia" w:eastAsia="仿宋_GB2312"/>
          <w:sz w:val="32"/>
          <w:szCs w:val="22"/>
        </w:rPr>
        <w:t>应急指挥部</w:t>
      </w:r>
      <w:r>
        <w:rPr>
          <w:rFonts w:eastAsia="仿宋_GB2312"/>
          <w:sz w:val="32"/>
          <w:szCs w:val="22"/>
        </w:rPr>
        <w:t>研判，其他有可能引发一般（Ⅳ级）供热事故的。</w:t>
      </w:r>
    </w:p>
    <w:p>
      <w:pPr>
        <w:adjustRightInd w:val="0"/>
        <w:snapToGrid w:val="0"/>
        <w:spacing w:line="560" w:lineRule="exact"/>
        <w:ind w:firstLine="640" w:firstLineChars="200"/>
        <w:rPr>
          <w:rFonts w:eastAsia="仿宋_GB2312"/>
          <w:sz w:val="32"/>
          <w:szCs w:val="22"/>
        </w:rPr>
      </w:pPr>
      <w:r>
        <w:rPr>
          <w:rFonts w:eastAsia="仿宋_GB2312"/>
          <w:sz w:val="32"/>
          <w:szCs w:val="22"/>
        </w:rPr>
        <w:t>黄色预警：可能造成1万户以上3万户以下居民连续停热24小时以上的；经区</w:t>
      </w:r>
      <w:r>
        <w:rPr>
          <w:rFonts w:hint="eastAsia" w:eastAsia="仿宋_GB2312"/>
          <w:sz w:val="32"/>
          <w:szCs w:val="22"/>
        </w:rPr>
        <w:t>应急指挥部</w:t>
      </w:r>
      <w:r>
        <w:rPr>
          <w:rFonts w:eastAsia="仿宋_GB2312"/>
          <w:sz w:val="32"/>
          <w:szCs w:val="22"/>
        </w:rPr>
        <w:t>研判，其他有可能引发较大（Ⅲ级）供热事故的。</w:t>
      </w:r>
    </w:p>
    <w:p>
      <w:pPr>
        <w:adjustRightInd w:val="0"/>
        <w:snapToGrid w:val="0"/>
        <w:spacing w:line="560" w:lineRule="exact"/>
        <w:ind w:firstLine="640" w:firstLineChars="200"/>
        <w:rPr>
          <w:rFonts w:eastAsia="仿宋_GB2312"/>
          <w:sz w:val="32"/>
          <w:szCs w:val="22"/>
        </w:rPr>
      </w:pPr>
      <w:r>
        <w:rPr>
          <w:rFonts w:eastAsia="仿宋_GB2312"/>
          <w:sz w:val="32"/>
          <w:szCs w:val="22"/>
        </w:rPr>
        <w:t>橙色预警：可能造成3万户以上居民连续停热24小时以上的；经区</w:t>
      </w:r>
      <w:r>
        <w:rPr>
          <w:rFonts w:hint="eastAsia" w:eastAsia="仿宋_GB2312"/>
          <w:sz w:val="32"/>
          <w:szCs w:val="22"/>
        </w:rPr>
        <w:t>应急指挥部</w:t>
      </w:r>
      <w:r>
        <w:rPr>
          <w:rFonts w:eastAsia="仿宋_GB2312"/>
          <w:sz w:val="32"/>
          <w:szCs w:val="22"/>
        </w:rPr>
        <w:t>研判，其他有可能引发重大（Ⅱ级）供热事故的。</w:t>
      </w:r>
    </w:p>
    <w:p>
      <w:pPr>
        <w:adjustRightInd w:val="0"/>
        <w:snapToGrid w:val="0"/>
        <w:spacing w:line="560" w:lineRule="exact"/>
        <w:ind w:firstLine="640" w:firstLineChars="200"/>
        <w:rPr>
          <w:rFonts w:eastAsia="仿宋_GB2312"/>
          <w:sz w:val="32"/>
          <w:szCs w:val="22"/>
        </w:rPr>
      </w:pPr>
      <w:r>
        <w:rPr>
          <w:rFonts w:eastAsia="仿宋_GB2312"/>
          <w:sz w:val="32"/>
          <w:szCs w:val="22"/>
        </w:rPr>
        <w:t>红色预警：可能造成5万户以上居民连续停热48小时以上的；经区</w:t>
      </w:r>
      <w:r>
        <w:rPr>
          <w:rFonts w:hint="eastAsia" w:eastAsia="仿宋_GB2312"/>
          <w:sz w:val="32"/>
          <w:szCs w:val="22"/>
        </w:rPr>
        <w:t>应急指挥部</w:t>
      </w:r>
      <w:r>
        <w:rPr>
          <w:rFonts w:eastAsia="仿宋_GB2312"/>
          <w:sz w:val="32"/>
          <w:szCs w:val="22"/>
        </w:rPr>
        <w:t>研判，其他有可能引发特别重大（Ⅰ级）供热事故的。</w:t>
      </w:r>
    </w:p>
    <w:p>
      <w:pPr>
        <w:adjustRightInd w:val="0"/>
        <w:snapToGrid w:val="0"/>
        <w:spacing w:line="560" w:lineRule="exact"/>
        <w:ind w:firstLine="643" w:firstLineChars="200"/>
        <w:rPr>
          <w:rFonts w:eastAsia="仿宋_GB2312"/>
          <w:b/>
          <w:sz w:val="32"/>
          <w:szCs w:val="22"/>
        </w:rPr>
      </w:pPr>
      <w:r>
        <w:rPr>
          <w:rFonts w:hint="eastAsia" w:eastAsia="仿宋_GB2312"/>
          <w:b/>
          <w:sz w:val="32"/>
          <w:szCs w:val="22"/>
        </w:rPr>
        <w:t>3.4.2</w:t>
      </w:r>
      <w:r>
        <w:rPr>
          <w:rFonts w:eastAsia="仿宋_GB2312"/>
          <w:b/>
          <w:sz w:val="32"/>
          <w:szCs w:val="22"/>
        </w:rPr>
        <w:t>风险信息报送</w:t>
      </w:r>
    </w:p>
    <w:p>
      <w:pPr>
        <w:adjustRightInd w:val="0"/>
        <w:snapToGrid w:val="0"/>
        <w:spacing w:line="560" w:lineRule="exact"/>
        <w:ind w:firstLine="640" w:firstLineChars="200"/>
        <w:rPr>
          <w:rFonts w:eastAsia="仿宋_GB2312"/>
          <w:sz w:val="32"/>
          <w:szCs w:val="22"/>
        </w:rPr>
      </w:pPr>
      <w:r>
        <w:rPr>
          <w:rFonts w:eastAsia="仿宋_GB2312"/>
          <w:sz w:val="32"/>
          <w:szCs w:val="22"/>
        </w:rPr>
        <w:t>成员单位根据各项监测工作总结评估结果中有可能导致供热事故风险增加的信息的，第一时间报送区</w:t>
      </w:r>
      <w:r>
        <w:rPr>
          <w:rFonts w:hint="eastAsia" w:eastAsia="仿宋_GB2312"/>
          <w:sz w:val="32"/>
          <w:szCs w:val="22"/>
        </w:rPr>
        <w:t>应急指挥部</w:t>
      </w:r>
      <w:r>
        <w:rPr>
          <w:rFonts w:eastAsia="仿宋_GB2312"/>
          <w:sz w:val="32"/>
          <w:szCs w:val="22"/>
        </w:rPr>
        <w:t>办公室。</w:t>
      </w:r>
    </w:p>
    <w:p>
      <w:pPr>
        <w:adjustRightInd w:val="0"/>
        <w:snapToGrid w:val="0"/>
        <w:spacing w:line="560" w:lineRule="exact"/>
        <w:ind w:firstLine="640" w:firstLineChars="200"/>
        <w:rPr>
          <w:rFonts w:eastAsia="仿宋_GB2312"/>
          <w:sz w:val="32"/>
          <w:szCs w:val="22"/>
        </w:rPr>
      </w:pPr>
      <w:r>
        <w:rPr>
          <w:rFonts w:eastAsia="仿宋_GB2312"/>
          <w:sz w:val="32"/>
          <w:szCs w:val="22"/>
        </w:rPr>
        <w:t>区</w:t>
      </w:r>
      <w:r>
        <w:rPr>
          <w:rFonts w:hint="eastAsia" w:eastAsia="仿宋_GB2312"/>
          <w:sz w:val="32"/>
          <w:szCs w:val="22"/>
        </w:rPr>
        <w:t>应急指挥部</w:t>
      </w:r>
      <w:r>
        <w:rPr>
          <w:rFonts w:eastAsia="仿宋_GB2312"/>
          <w:sz w:val="32"/>
          <w:szCs w:val="22"/>
        </w:rPr>
        <w:t>办公室在接到相关供热风险信息报送，或在重大节日等重要时期或事故易发时段和其他地区发生供热事故等情况时，抽调相关专家进行研判，分析供热事故风险严重程度、供热设施安全状况、可能发生事故的类别和影响区域范围，根据结果提出预警级别和预警发布的建议，上报区</w:t>
      </w:r>
      <w:r>
        <w:rPr>
          <w:rFonts w:hint="eastAsia" w:eastAsia="仿宋_GB2312"/>
          <w:sz w:val="32"/>
          <w:szCs w:val="22"/>
        </w:rPr>
        <w:t>应急指挥部</w:t>
      </w:r>
      <w:r>
        <w:rPr>
          <w:rFonts w:eastAsia="仿宋_GB2312"/>
          <w:sz w:val="32"/>
          <w:szCs w:val="22"/>
        </w:rPr>
        <w:t>审批。</w:t>
      </w:r>
    </w:p>
    <w:p>
      <w:pPr>
        <w:adjustRightInd w:val="0"/>
        <w:snapToGrid w:val="0"/>
        <w:spacing w:line="560" w:lineRule="exact"/>
        <w:ind w:firstLine="643" w:firstLineChars="200"/>
        <w:rPr>
          <w:rFonts w:eastAsia="仿宋_GB2312"/>
          <w:b/>
          <w:sz w:val="32"/>
          <w:szCs w:val="22"/>
        </w:rPr>
      </w:pPr>
      <w:r>
        <w:rPr>
          <w:rFonts w:hint="eastAsia" w:eastAsia="仿宋_GB2312"/>
          <w:b/>
          <w:sz w:val="32"/>
          <w:szCs w:val="22"/>
        </w:rPr>
        <w:t>3.4.3预警发布</w:t>
      </w:r>
    </w:p>
    <w:p>
      <w:pPr>
        <w:adjustRightInd w:val="0"/>
        <w:snapToGrid w:val="0"/>
        <w:spacing w:line="560" w:lineRule="exact"/>
        <w:ind w:firstLine="640" w:firstLineChars="200"/>
        <w:rPr>
          <w:rFonts w:eastAsia="仿宋_GB2312"/>
          <w:sz w:val="32"/>
          <w:szCs w:val="22"/>
        </w:rPr>
      </w:pPr>
      <w:r>
        <w:rPr>
          <w:rFonts w:eastAsia="仿宋_GB2312"/>
          <w:sz w:val="32"/>
          <w:szCs w:val="22"/>
        </w:rPr>
        <w:t>按照</w:t>
      </w:r>
      <w:r>
        <w:rPr>
          <w:rFonts w:hint="eastAsia" w:eastAsia="仿宋_GB2312"/>
          <w:sz w:val="32"/>
          <w:szCs w:val="22"/>
        </w:rPr>
        <w:t>集中供热事故发生</w:t>
      </w:r>
      <w:r>
        <w:rPr>
          <w:rFonts w:eastAsia="仿宋_GB2312"/>
          <w:sz w:val="32"/>
          <w:szCs w:val="22"/>
        </w:rPr>
        <w:t>的紧急程度、发展势态和可能造成的危害程度</w:t>
      </w:r>
      <w:r>
        <w:rPr>
          <w:rFonts w:hint="eastAsia" w:eastAsia="仿宋_GB2312"/>
          <w:sz w:val="32"/>
          <w:szCs w:val="22"/>
        </w:rPr>
        <w:t>，区应急指挥部办公室报请区应急指挥部副总指挥或总指挥同意后，依照相关规定发布预警信息，相关成员单位接到预警发布信息后需及时转发，并向区应急指挥部办公室反馈预警信息接收和预警行动落实情况。</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当气象部门发布低温雨雪冰冻预警信息，区应急指挥部办公室立即将预警信息转发给各成员单位，并要求其做好相关工作。</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集中供热事故预警信息的发布可采用文件、电话、短信、传真、内网、社交软件工作群等方式发送，发送时需附《西安市雁塔区集中供热事故</w:t>
      </w:r>
      <w:r>
        <w:rPr>
          <w:rFonts w:eastAsia="仿宋_GB2312"/>
          <w:sz w:val="32"/>
          <w:szCs w:val="22"/>
        </w:rPr>
        <w:t>预警信息发布单》</w:t>
      </w:r>
      <w:r>
        <w:rPr>
          <w:rFonts w:hint="eastAsia" w:eastAsia="仿宋_GB2312"/>
          <w:sz w:val="32"/>
          <w:szCs w:val="22"/>
        </w:rPr>
        <w:t>，内容包括预警级别、预警范围、保密要求、联络方式、集中供热风险情况概述、预警措施、发布单位和发布时间等。</w:t>
      </w:r>
    </w:p>
    <w:p>
      <w:pPr>
        <w:adjustRightInd w:val="0"/>
        <w:snapToGrid w:val="0"/>
        <w:spacing w:line="560" w:lineRule="exact"/>
        <w:ind w:firstLine="643" w:firstLineChars="200"/>
        <w:rPr>
          <w:rFonts w:eastAsia="仿宋_GB2312"/>
          <w:b/>
          <w:sz w:val="32"/>
          <w:szCs w:val="22"/>
        </w:rPr>
      </w:pPr>
      <w:r>
        <w:rPr>
          <w:rFonts w:hint="eastAsia" w:eastAsia="仿宋_GB2312"/>
          <w:b/>
          <w:sz w:val="32"/>
          <w:szCs w:val="22"/>
        </w:rPr>
        <w:t>3.4.4</w:t>
      </w:r>
      <w:r>
        <w:rPr>
          <w:rFonts w:eastAsia="仿宋_GB2312"/>
          <w:b/>
          <w:sz w:val="32"/>
          <w:szCs w:val="22"/>
        </w:rPr>
        <w:t>预警行动</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集中供热事故预警发布后，区应急指挥部应根据预警级别决定采取相应预警措施，由区应急指挥部办公室和相关成员单位督导供热企业或可能受影响区域内相关单位，配合落实以下一项或多项预警措施。</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（1）区应急指挥部办公室组织预警期间值守工作，要求街办（园办）开展值守并保持联络畅通；</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w:t>
      </w:r>
      <w:r>
        <w:rPr>
          <w:rFonts w:eastAsia="仿宋_GB2312"/>
          <w:sz w:val="32"/>
          <w:szCs w:val="22"/>
        </w:rPr>
        <w:t>2</w:t>
      </w:r>
      <w:r>
        <w:rPr>
          <w:rFonts w:hint="eastAsia" w:eastAsia="仿宋_GB2312"/>
          <w:sz w:val="32"/>
          <w:szCs w:val="22"/>
        </w:rPr>
        <w:t>）区应急指挥部办公室确定风险信息报送频次并要求相关单位报送集中供热事故风险信息变化情况；</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w:t>
      </w:r>
      <w:r>
        <w:rPr>
          <w:rFonts w:eastAsia="仿宋_GB2312"/>
          <w:sz w:val="32"/>
          <w:szCs w:val="22"/>
        </w:rPr>
        <w:t>3</w:t>
      </w:r>
      <w:r>
        <w:rPr>
          <w:rFonts w:hint="eastAsia" w:eastAsia="仿宋_GB2312"/>
          <w:sz w:val="32"/>
          <w:szCs w:val="22"/>
        </w:rPr>
        <w:t>）区应急指挥部办公室、相关成员单位和专家指导组，联合制定集中供热事故风险控制方案，并开展相关协调工作；</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w:t>
      </w:r>
      <w:r>
        <w:rPr>
          <w:rFonts w:eastAsia="仿宋_GB2312"/>
          <w:sz w:val="32"/>
          <w:szCs w:val="22"/>
        </w:rPr>
        <w:t>4</w:t>
      </w:r>
      <w:r>
        <w:rPr>
          <w:rFonts w:hint="eastAsia" w:eastAsia="仿宋_GB2312"/>
          <w:sz w:val="32"/>
          <w:szCs w:val="22"/>
        </w:rPr>
        <w:t>）相关成员单位依据本预案职责，督导或落实集中供热事故风险控制方案；</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（5）区应急指挥部办公室会同相关成员单位统计可能发生集中供热事故区域周边道路交通、避难场所等情况，检查应急物资、装备和设备，确保其处于可用状态，联络协调抢修队伍，要求其做好响应准备；</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6）区应急指挥部办公室督导有关供热企业对存在风险的设施、管网进行紧急关停，估算影响的时间和区域，在区委宣传部、区委网信办的指导下发布相关信息，相关成员单位依据职责开展受影响区域内群众的疏导和安抚；</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（7）区应急指挥部办公室与相关成员单位制定疏散计划，组织集中供热事故风险影响区域内人员提前撤离，有序停止生产经营活动；</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（8）公安雁塔分局、交警雁塔大队组织维持治安交通秩序，清空并封闭高风险区域；</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（9）区委网信办组织开展网络舆情监测，适时在网上发布区应急指挥部出具的信息，避免造成过度恐慌；</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（10）区应急指挥部调集相关应急物资、装备、设备于指定地点存放，并调集专业处置队伍、消防队伍赶赴集中供热事故风险区域参与风险控制工作；</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（11）上级指挥机构和区应急指挥部主要领导认为有必要采取的其他措施。</w:t>
      </w:r>
    </w:p>
    <w:p>
      <w:pPr>
        <w:adjustRightInd w:val="0"/>
        <w:snapToGrid w:val="0"/>
        <w:spacing w:line="560" w:lineRule="exact"/>
        <w:ind w:firstLine="643" w:firstLineChars="200"/>
        <w:rPr>
          <w:rFonts w:eastAsia="仿宋_GB2312"/>
          <w:b/>
          <w:sz w:val="32"/>
          <w:szCs w:val="22"/>
        </w:rPr>
      </w:pPr>
      <w:r>
        <w:rPr>
          <w:rFonts w:eastAsia="仿宋_GB2312"/>
          <w:b/>
          <w:sz w:val="32"/>
          <w:szCs w:val="22"/>
        </w:rPr>
        <w:t>3.</w:t>
      </w:r>
      <w:r>
        <w:rPr>
          <w:rFonts w:hint="eastAsia" w:eastAsia="仿宋_GB2312"/>
          <w:b/>
          <w:sz w:val="32"/>
          <w:szCs w:val="22"/>
        </w:rPr>
        <w:t>4</w:t>
      </w:r>
      <w:r>
        <w:rPr>
          <w:rFonts w:eastAsia="仿宋_GB2312"/>
          <w:b/>
          <w:sz w:val="32"/>
          <w:szCs w:val="22"/>
        </w:rPr>
        <w:t>.5预警调整</w:t>
      </w:r>
    </w:p>
    <w:p>
      <w:pPr>
        <w:adjustRightInd w:val="0"/>
        <w:snapToGrid w:val="0"/>
        <w:spacing w:line="560" w:lineRule="exact"/>
        <w:ind w:firstLine="640" w:firstLineChars="200"/>
        <w:rPr>
          <w:rFonts w:eastAsia="仿宋_GB2312"/>
          <w:sz w:val="32"/>
          <w:szCs w:val="22"/>
        </w:rPr>
      </w:pPr>
      <w:r>
        <w:rPr>
          <w:rFonts w:eastAsia="仿宋_GB2312"/>
          <w:sz w:val="32"/>
          <w:szCs w:val="22"/>
        </w:rPr>
        <w:t>当通过预警措施使供热事故风险降低，或供热事故风险未能得到有效控制时，区</w:t>
      </w:r>
      <w:r>
        <w:rPr>
          <w:rFonts w:hint="eastAsia" w:eastAsia="仿宋_GB2312"/>
          <w:sz w:val="32"/>
          <w:szCs w:val="22"/>
        </w:rPr>
        <w:t>应急指挥部</w:t>
      </w:r>
      <w:r>
        <w:rPr>
          <w:rFonts w:eastAsia="仿宋_GB2312"/>
          <w:sz w:val="32"/>
          <w:szCs w:val="22"/>
        </w:rPr>
        <w:t>经过研判，认为应该调整预警级别时，应向上级指挥机构提出相关预警发布建议，经审批后调整预警级别，并按照预警发布相关要求进行发布和上报。</w:t>
      </w:r>
    </w:p>
    <w:p>
      <w:pPr>
        <w:adjustRightInd w:val="0"/>
        <w:snapToGrid w:val="0"/>
        <w:spacing w:line="560" w:lineRule="exact"/>
        <w:ind w:firstLine="643" w:firstLineChars="200"/>
        <w:rPr>
          <w:rFonts w:eastAsia="仿宋_GB2312"/>
          <w:b/>
          <w:sz w:val="32"/>
          <w:szCs w:val="22"/>
        </w:rPr>
      </w:pPr>
      <w:r>
        <w:rPr>
          <w:rFonts w:hint="eastAsia" w:eastAsia="仿宋_GB2312"/>
          <w:b/>
          <w:sz w:val="32"/>
          <w:szCs w:val="22"/>
        </w:rPr>
        <w:t>3.4.6 预警解除</w:t>
      </w:r>
    </w:p>
    <w:p>
      <w:pPr>
        <w:adjustRightInd w:val="0"/>
        <w:snapToGrid w:val="0"/>
        <w:spacing w:line="560" w:lineRule="exact"/>
        <w:ind w:firstLine="640" w:firstLineChars="200"/>
        <w:rPr>
          <w:rFonts w:eastAsia="仿宋_GB2312"/>
          <w:sz w:val="32"/>
          <w:szCs w:val="22"/>
        </w:rPr>
      </w:pPr>
      <w:r>
        <w:rPr>
          <w:rFonts w:eastAsia="仿宋_GB2312"/>
          <w:sz w:val="32"/>
          <w:szCs w:val="22"/>
        </w:rPr>
        <w:t>通过预警措施使</w:t>
      </w:r>
      <w:r>
        <w:rPr>
          <w:rFonts w:hint="eastAsia" w:eastAsia="仿宋_GB2312"/>
          <w:sz w:val="32"/>
          <w:szCs w:val="22"/>
        </w:rPr>
        <w:t>集中供热事故</w:t>
      </w:r>
      <w:r>
        <w:rPr>
          <w:rFonts w:eastAsia="仿宋_GB2312"/>
          <w:sz w:val="32"/>
          <w:szCs w:val="22"/>
        </w:rPr>
        <w:t>风险消除后，由</w:t>
      </w:r>
      <w:r>
        <w:rPr>
          <w:rFonts w:hint="eastAsia" w:eastAsia="仿宋_GB2312"/>
          <w:sz w:val="32"/>
          <w:szCs w:val="22"/>
        </w:rPr>
        <w:t>区应急指挥部</w:t>
      </w:r>
      <w:r>
        <w:rPr>
          <w:rFonts w:eastAsia="仿宋_GB2312"/>
          <w:sz w:val="32"/>
          <w:szCs w:val="22"/>
        </w:rPr>
        <w:t>办公室提</w:t>
      </w:r>
      <w:r>
        <w:rPr>
          <w:rFonts w:hint="eastAsia" w:eastAsia="仿宋_GB2312"/>
          <w:sz w:val="32"/>
          <w:szCs w:val="22"/>
        </w:rPr>
        <w:t>出预警解除的建议，经区应急指挥部副总指挥或总指挥批准，由区应急指挥部办公室通知相关成员单位，督导有序解除预警措施。</w:t>
      </w:r>
    </w:p>
    <w:p>
      <w:pPr>
        <w:adjustRightInd w:val="0"/>
        <w:snapToGrid w:val="0"/>
        <w:spacing w:line="560" w:lineRule="exact"/>
        <w:ind w:firstLine="640" w:firstLineChars="200"/>
        <w:rPr>
          <w:rFonts w:eastAsia="仿宋_GB2312"/>
          <w:b/>
          <w:bCs/>
          <w:sz w:val="32"/>
          <w:szCs w:val="22"/>
        </w:rPr>
      </w:pPr>
      <w:bookmarkStart w:id="37" w:name="_Toc16341"/>
      <w:bookmarkStart w:id="38" w:name="_Toc28619"/>
      <w:r>
        <w:rPr>
          <w:rFonts w:hint="eastAsia" w:ascii="黑体" w:hAnsi="黑体" w:eastAsia="黑体"/>
          <w:sz w:val="32"/>
          <w:szCs w:val="22"/>
        </w:rPr>
        <w:t>4应急响应</w:t>
      </w:r>
      <w:bookmarkEnd w:id="37"/>
      <w:bookmarkEnd w:id="38"/>
    </w:p>
    <w:p>
      <w:pPr>
        <w:adjustRightInd w:val="0"/>
        <w:snapToGrid w:val="0"/>
        <w:spacing w:line="560" w:lineRule="exact"/>
        <w:ind w:firstLine="643" w:firstLineChars="200"/>
        <w:rPr>
          <w:rFonts w:eastAsia="仿宋_GB2312"/>
          <w:b/>
          <w:bCs/>
          <w:sz w:val="32"/>
          <w:szCs w:val="22"/>
        </w:rPr>
      </w:pPr>
      <w:bookmarkStart w:id="39" w:name="_Toc32187"/>
      <w:bookmarkStart w:id="40" w:name="_Toc17373"/>
      <w:r>
        <w:rPr>
          <w:rFonts w:hint="eastAsia" w:eastAsia="仿宋_GB2312"/>
          <w:b/>
          <w:bCs/>
          <w:sz w:val="32"/>
          <w:szCs w:val="22"/>
        </w:rPr>
        <w:t>4.1信息报送</w:t>
      </w:r>
      <w:bookmarkEnd w:id="39"/>
      <w:bookmarkEnd w:id="40"/>
    </w:p>
    <w:p>
      <w:pPr>
        <w:adjustRightInd w:val="0"/>
        <w:snapToGrid w:val="0"/>
        <w:spacing w:line="560" w:lineRule="exact"/>
        <w:ind w:firstLine="640" w:firstLineChars="200"/>
        <w:rPr>
          <w:rFonts w:eastAsia="仿宋_GB2312"/>
          <w:sz w:val="32"/>
          <w:szCs w:val="22"/>
        </w:rPr>
      </w:pPr>
      <w:r>
        <w:rPr>
          <w:rFonts w:hint="eastAsia" w:eastAsia="仿宋_GB2312"/>
          <w:sz w:val="32"/>
          <w:szCs w:val="22"/>
        </w:rPr>
        <w:t>集中供热事故</w:t>
      </w:r>
      <w:r>
        <w:rPr>
          <w:rFonts w:eastAsia="仿宋_GB2312"/>
          <w:sz w:val="32"/>
          <w:szCs w:val="22"/>
        </w:rPr>
        <w:t>信息报送分为首报、续报和终报。首报：</w:t>
      </w:r>
      <w:r>
        <w:rPr>
          <w:rFonts w:hint="eastAsia" w:eastAsia="仿宋_GB2312"/>
          <w:sz w:val="32"/>
          <w:szCs w:val="22"/>
        </w:rPr>
        <w:t>区应急指挥部办公室接到相关成员单位或街办（园办）的集中供热事故信息后，对其进行核实并上报区应急指挥部。续报和终报：现场指挥部对各应急工作组的应急处置信息进行汇总后，交由区应急指挥部办公室整理报送区应急指挥部。其中终报应在应急响应结束后进行。区应急指挥部办公室在向区应急指挥部报送信息时，应将集中供热事故信息同时上报区应急管理局值班室，对于影响比较大的集中供热事故区应急指挥部须按照相关规定向区政府和市城管局报送信息。</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集中供热事故的首报、续报和终报均采用第一时间电话报告，随后补报书面报告的形式，电话报送需明确报送单位、报送人和联系方式，书面报告需填写《西安市雁塔区集中供热事故信息报送单》，并采用文件、传真、内网等形式于电话报送后</w:t>
      </w:r>
      <w:r>
        <w:rPr>
          <w:rFonts w:eastAsia="仿宋_GB2312"/>
          <w:sz w:val="32"/>
          <w:szCs w:val="22"/>
        </w:rPr>
        <w:t>30</w:t>
      </w:r>
      <w:r>
        <w:rPr>
          <w:rFonts w:hint="eastAsia" w:eastAsia="仿宋_GB2312"/>
          <w:sz w:val="32"/>
          <w:szCs w:val="22"/>
        </w:rPr>
        <w:t>分钟内提交；供热企业和使用单位（企业）发生集中供热事故后，上报属地街办（园办）供热行业主管部门和区应急指挥部办公室的时间不得超过</w:t>
      </w:r>
      <w:r>
        <w:rPr>
          <w:rFonts w:eastAsia="仿宋_GB2312"/>
          <w:sz w:val="32"/>
          <w:szCs w:val="22"/>
        </w:rPr>
        <w:t>30</w:t>
      </w:r>
      <w:r>
        <w:rPr>
          <w:rFonts w:hint="eastAsia" w:eastAsia="仿宋_GB2312"/>
          <w:sz w:val="32"/>
          <w:szCs w:val="22"/>
        </w:rPr>
        <w:t>分钟。</w:t>
      </w:r>
    </w:p>
    <w:p>
      <w:pPr>
        <w:adjustRightInd w:val="0"/>
        <w:snapToGrid w:val="0"/>
        <w:spacing w:line="560" w:lineRule="exact"/>
        <w:ind w:firstLine="640" w:firstLineChars="200"/>
        <w:rPr>
          <w:rFonts w:eastAsia="仿宋_GB2312"/>
          <w:sz w:val="32"/>
          <w:szCs w:val="22"/>
        </w:rPr>
      </w:pPr>
      <w:r>
        <w:rPr>
          <w:rFonts w:eastAsia="仿宋_GB2312"/>
          <w:sz w:val="32"/>
          <w:szCs w:val="22"/>
        </w:rPr>
        <w:t>首报内容应包括</w:t>
      </w:r>
      <w:r>
        <w:rPr>
          <w:rFonts w:hint="eastAsia" w:eastAsia="仿宋_GB2312"/>
          <w:sz w:val="32"/>
          <w:szCs w:val="22"/>
        </w:rPr>
        <w:t>集中供热事故</w:t>
      </w:r>
      <w:r>
        <w:rPr>
          <w:rFonts w:eastAsia="仿宋_GB2312"/>
          <w:sz w:val="32"/>
          <w:szCs w:val="22"/>
        </w:rPr>
        <w:t>发生单位概况，</w:t>
      </w:r>
      <w:r>
        <w:rPr>
          <w:rFonts w:hint="eastAsia" w:eastAsia="仿宋_GB2312"/>
          <w:sz w:val="32"/>
          <w:szCs w:val="22"/>
        </w:rPr>
        <w:t>事件</w:t>
      </w:r>
      <w:r>
        <w:rPr>
          <w:rFonts w:eastAsia="仿宋_GB2312"/>
          <w:sz w:val="32"/>
          <w:szCs w:val="22"/>
        </w:rPr>
        <w:t>发生的时间、</w:t>
      </w:r>
      <w:r>
        <w:rPr>
          <w:rFonts w:hint="eastAsia" w:eastAsia="仿宋_GB2312"/>
          <w:sz w:val="32"/>
          <w:szCs w:val="22"/>
        </w:rPr>
        <w:t>地点以及事件现场情况，事件的类型和简要经过，事件已经造成或者可能造成的伤亡人数（包括下落不明的人数）和初步估计的直接经济损失，事件可能造成的影响类型，已经采取的措施，其他应当报告的情况。</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续报内容应包括集中供热事故抢险救援进展，已经造成的人员伤亡和医疗救治情况，已经造成的损失和影响，事发地周边风险监测和气象情况，人员疏散避险情况，应急物资装备保障情况等。</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终报应包括集中供热事故应急处置的措施、过程和结果，次生、衍生事件风险的控制情况，事件初步调查结果，需要善后处置的事项等。</w:t>
      </w:r>
    </w:p>
    <w:p>
      <w:pPr>
        <w:adjustRightInd w:val="0"/>
        <w:snapToGrid w:val="0"/>
        <w:spacing w:line="560" w:lineRule="exact"/>
        <w:ind w:firstLine="643" w:firstLineChars="200"/>
        <w:rPr>
          <w:rFonts w:eastAsia="仿宋_GB2312"/>
          <w:b/>
          <w:bCs/>
          <w:sz w:val="32"/>
          <w:szCs w:val="22"/>
        </w:rPr>
      </w:pPr>
      <w:bookmarkStart w:id="41" w:name="_Toc11915"/>
      <w:bookmarkStart w:id="42" w:name="_Toc9111"/>
      <w:r>
        <w:rPr>
          <w:rFonts w:hint="eastAsia" w:eastAsia="仿宋_GB2312"/>
          <w:b/>
          <w:bCs/>
          <w:sz w:val="32"/>
          <w:szCs w:val="22"/>
        </w:rPr>
        <w:t>4.2先期处置</w:t>
      </w:r>
      <w:bookmarkEnd w:id="41"/>
      <w:bookmarkEnd w:id="42"/>
    </w:p>
    <w:p>
      <w:pPr>
        <w:adjustRightInd w:val="0"/>
        <w:snapToGrid w:val="0"/>
        <w:spacing w:line="560" w:lineRule="exact"/>
        <w:ind w:firstLine="640" w:firstLineChars="200"/>
        <w:rPr>
          <w:rFonts w:eastAsia="仿宋_GB2312"/>
          <w:sz w:val="32"/>
          <w:szCs w:val="22"/>
        </w:rPr>
      </w:pPr>
      <w:r>
        <w:rPr>
          <w:rFonts w:hint="eastAsia" w:eastAsia="仿宋_GB2312"/>
          <w:sz w:val="32"/>
          <w:szCs w:val="22"/>
        </w:rPr>
        <w:t>集中供热事故发生后，属地街办（园办）应立即启动街办相应预案，组织、调集相关人员、队伍、车辆及设备赶赴现场；调集应急物资、装备、设备及车辆，采取有效措施，抢救受伤人员，全力防止事态扩大；最短时间了解并掌握事件情况，确定事件等级，及时向区应急指挥部办公室报告事件发展趋势与应急处置情况；维护现场治安、秩序，疏散、转移或采取措施保护受灾人员。</w:t>
      </w:r>
    </w:p>
    <w:p>
      <w:pPr>
        <w:adjustRightInd w:val="0"/>
        <w:snapToGrid w:val="0"/>
        <w:spacing w:line="560" w:lineRule="exact"/>
        <w:ind w:firstLine="643" w:firstLineChars="200"/>
        <w:rPr>
          <w:rFonts w:eastAsia="仿宋_GB2312"/>
          <w:b/>
          <w:bCs/>
          <w:sz w:val="32"/>
          <w:szCs w:val="22"/>
        </w:rPr>
      </w:pPr>
      <w:bookmarkStart w:id="43" w:name="_Toc22764"/>
      <w:bookmarkStart w:id="44" w:name="_Toc8095"/>
      <w:r>
        <w:rPr>
          <w:rFonts w:hint="eastAsia" w:eastAsia="仿宋_GB2312"/>
          <w:b/>
          <w:bCs/>
          <w:sz w:val="32"/>
          <w:szCs w:val="22"/>
        </w:rPr>
        <w:t>4.3分级响应</w:t>
      </w:r>
      <w:bookmarkEnd w:id="43"/>
      <w:bookmarkEnd w:id="44"/>
    </w:p>
    <w:p>
      <w:pPr>
        <w:adjustRightInd w:val="0"/>
        <w:snapToGrid w:val="0"/>
        <w:spacing w:line="560" w:lineRule="exact"/>
        <w:ind w:firstLine="643" w:firstLineChars="200"/>
        <w:rPr>
          <w:rFonts w:eastAsia="仿宋_GB2312"/>
          <w:b/>
          <w:bCs/>
          <w:sz w:val="32"/>
          <w:szCs w:val="22"/>
        </w:rPr>
      </w:pPr>
      <w:r>
        <w:rPr>
          <w:rFonts w:hint="eastAsia" w:eastAsia="仿宋_GB2312"/>
          <w:b/>
          <w:bCs/>
          <w:sz w:val="32"/>
          <w:szCs w:val="22"/>
        </w:rPr>
        <w:t>4.3.1响应分级</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根据集中供热事故的严重程度和发展态势，区级应急响应由低到高分为Ⅲ级响应、Ⅱ级响应、Ⅰ级响应三个级别。</w:t>
      </w:r>
    </w:p>
    <w:p>
      <w:pPr>
        <w:adjustRightInd w:val="0"/>
        <w:snapToGrid w:val="0"/>
        <w:spacing w:line="560" w:lineRule="exact"/>
        <w:ind w:firstLine="643" w:firstLineChars="200"/>
        <w:rPr>
          <w:rFonts w:eastAsia="仿宋_GB2312"/>
          <w:sz w:val="32"/>
          <w:szCs w:val="22"/>
        </w:rPr>
      </w:pPr>
      <w:r>
        <w:rPr>
          <w:rFonts w:hint="eastAsia" w:eastAsia="仿宋_GB2312"/>
          <w:b/>
          <w:bCs/>
          <w:sz w:val="32"/>
          <w:szCs w:val="22"/>
        </w:rPr>
        <w:t>4.3.1.1Ⅲ级响应</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（1）启动条件</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符合下列条件之一时，启动Ⅲ级响应。</w:t>
      </w:r>
    </w:p>
    <w:p>
      <w:pPr>
        <w:adjustRightInd w:val="0"/>
        <w:snapToGrid w:val="0"/>
        <w:spacing w:line="560" w:lineRule="exact"/>
        <w:ind w:firstLine="640" w:firstLineChars="200"/>
        <w:rPr>
          <w:rFonts w:eastAsia="仿宋_GB2312"/>
          <w:sz w:val="32"/>
          <w:szCs w:val="22"/>
        </w:rPr>
      </w:pPr>
      <w:r>
        <w:rPr>
          <w:rFonts w:eastAsia="仿宋_GB2312"/>
          <w:sz w:val="32"/>
          <w:szCs w:val="22"/>
        </w:rPr>
        <w:t>①</w:t>
      </w:r>
      <w:r>
        <w:rPr>
          <w:rFonts w:hint="eastAsia" w:eastAsia="仿宋_GB2312"/>
          <w:sz w:val="32"/>
          <w:szCs w:val="22"/>
        </w:rPr>
        <w:t>发生集中供热事故，造成直接经济损失人民币200万元以上，500万以下，或造成较大社会影响。</w:t>
      </w:r>
    </w:p>
    <w:p>
      <w:pPr>
        <w:adjustRightInd w:val="0"/>
        <w:snapToGrid w:val="0"/>
        <w:spacing w:line="560" w:lineRule="exact"/>
        <w:ind w:firstLine="640" w:firstLineChars="200"/>
        <w:rPr>
          <w:rFonts w:eastAsia="仿宋_GB2312"/>
          <w:sz w:val="32"/>
          <w:szCs w:val="22"/>
        </w:rPr>
      </w:pPr>
      <w:r>
        <w:rPr>
          <w:rFonts w:eastAsia="仿宋_GB2312"/>
          <w:sz w:val="32"/>
          <w:szCs w:val="22"/>
        </w:rPr>
        <w:t>②</w:t>
      </w:r>
      <w:r>
        <w:rPr>
          <w:rFonts w:hint="eastAsia" w:eastAsia="仿宋_GB2312"/>
          <w:sz w:val="32"/>
          <w:szCs w:val="22"/>
        </w:rPr>
        <w:t>发生集中供热事故，影响面积10万平方米以上，50万平方米以下，24小时内不能恢复供热。</w:t>
      </w:r>
    </w:p>
    <w:p>
      <w:pPr>
        <w:adjustRightInd w:val="0"/>
        <w:snapToGrid w:val="0"/>
        <w:spacing w:line="560" w:lineRule="exact"/>
        <w:ind w:firstLine="640" w:firstLineChars="200"/>
        <w:rPr>
          <w:rFonts w:eastAsia="仿宋_GB2312"/>
          <w:sz w:val="32"/>
          <w:szCs w:val="22"/>
        </w:rPr>
      </w:pPr>
      <w:r>
        <w:rPr>
          <w:rFonts w:eastAsia="仿宋_GB2312"/>
          <w:sz w:val="32"/>
          <w:szCs w:val="22"/>
        </w:rPr>
        <w:t>③</w:t>
      </w:r>
      <w:r>
        <w:rPr>
          <w:rFonts w:hint="eastAsia" w:eastAsia="仿宋_GB2312"/>
          <w:sz w:val="32"/>
          <w:szCs w:val="22"/>
        </w:rPr>
        <w:t>供热企业（单位）拒绝向居民供热，影响面积10平方米以上，20万平方米以下。</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（2）组织指挥</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集中供热事故发生后，经区应急指挥部办公室研判分析，需要区级部门进行指导、协助处置的，启动区级</w:t>
      </w:r>
      <w:r>
        <w:rPr>
          <w:rFonts w:eastAsia="仿宋_GB2312"/>
          <w:sz w:val="32"/>
          <w:szCs w:val="22"/>
        </w:rPr>
        <w:t>Ⅲ</w:t>
      </w:r>
      <w:r>
        <w:rPr>
          <w:rFonts w:hint="eastAsia" w:eastAsia="仿宋_GB2312"/>
          <w:sz w:val="32"/>
          <w:szCs w:val="22"/>
        </w:rPr>
        <w:t>级响应，区城管局立即组织调动应急资源和力量，指导、协助事发地街办（园办）开展集中供热事故应对工作。必要时，可成立集中供热事故现场应对工作指导小组或应急处置专家组，指导集中供热事故的应急处置工作。</w:t>
      </w:r>
    </w:p>
    <w:p>
      <w:pPr>
        <w:adjustRightInd w:val="0"/>
        <w:snapToGrid w:val="0"/>
        <w:spacing w:line="560" w:lineRule="exact"/>
        <w:ind w:firstLine="643" w:firstLineChars="200"/>
        <w:rPr>
          <w:rFonts w:eastAsia="仿宋_GB2312"/>
          <w:b/>
          <w:bCs/>
          <w:sz w:val="32"/>
          <w:szCs w:val="22"/>
        </w:rPr>
      </w:pPr>
      <w:r>
        <w:rPr>
          <w:rFonts w:hint="eastAsia" w:eastAsia="仿宋_GB2312"/>
          <w:b/>
          <w:bCs/>
          <w:sz w:val="32"/>
          <w:szCs w:val="22"/>
        </w:rPr>
        <w:t>4.3.1.2Ⅱ级响应</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（1）启动条件</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符合下列条件之一时，启动Ⅱ级响应。</w:t>
      </w:r>
    </w:p>
    <w:p>
      <w:pPr>
        <w:adjustRightInd w:val="0"/>
        <w:snapToGrid w:val="0"/>
        <w:spacing w:line="560" w:lineRule="exact"/>
        <w:ind w:firstLine="640" w:firstLineChars="200"/>
        <w:rPr>
          <w:rFonts w:eastAsia="仿宋_GB2312"/>
          <w:sz w:val="32"/>
          <w:szCs w:val="22"/>
        </w:rPr>
      </w:pPr>
      <w:r>
        <w:rPr>
          <w:rFonts w:eastAsia="仿宋_GB2312"/>
          <w:sz w:val="32"/>
          <w:szCs w:val="22"/>
        </w:rPr>
        <w:t>①</w:t>
      </w:r>
      <w:r>
        <w:rPr>
          <w:rFonts w:hint="eastAsia" w:eastAsia="仿宋_GB2312"/>
          <w:sz w:val="32"/>
          <w:szCs w:val="22"/>
        </w:rPr>
        <w:t>发生集中供热事故，造成直接经济损失人民币500万以上，1000万元以下，或造成较大社会影响。</w:t>
      </w:r>
    </w:p>
    <w:p>
      <w:pPr>
        <w:adjustRightInd w:val="0"/>
        <w:snapToGrid w:val="0"/>
        <w:spacing w:line="560" w:lineRule="exact"/>
        <w:ind w:firstLine="640" w:firstLineChars="200"/>
        <w:rPr>
          <w:rFonts w:eastAsia="仿宋_GB2312"/>
          <w:sz w:val="32"/>
          <w:szCs w:val="22"/>
        </w:rPr>
      </w:pPr>
      <w:r>
        <w:rPr>
          <w:rFonts w:eastAsia="仿宋_GB2312"/>
          <w:sz w:val="32"/>
          <w:szCs w:val="22"/>
        </w:rPr>
        <w:t>②</w:t>
      </w:r>
      <w:r>
        <w:rPr>
          <w:rFonts w:hint="eastAsia" w:eastAsia="仿宋_GB2312"/>
          <w:sz w:val="32"/>
          <w:szCs w:val="22"/>
        </w:rPr>
        <w:t>发生集中供热事故，影响面积50万平方米以上、150万平方米以下，24小时内不能恢复供热。</w:t>
      </w:r>
    </w:p>
    <w:p>
      <w:pPr>
        <w:adjustRightInd w:val="0"/>
        <w:snapToGrid w:val="0"/>
        <w:spacing w:line="560" w:lineRule="exact"/>
        <w:ind w:firstLine="640" w:firstLineChars="200"/>
        <w:rPr>
          <w:rFonts w:eastAsia="仿宋_GB2312"/>
          <w:sz w:val="32"/>
          <w:szCs w:val="22"/>
        </w:rPr>
      </w:pPr>
      <w:r>
        <w:rPr>
          <w:rFonts w:eastAsia="仿宋_GB2312"/>
          <w:sz w:val="32"/>
          <w:szCs w:val="22"/>
        </w:rPr>
        <w:t>③</w:t>
      </w:r>
      <w:r>
        <w:rPr>
          <w:rFonts w:hint="eastAsia" w:eastAsia="仿宋_GB2312"/>
          <w:sz w:val="32"/>
          <w:szCs w:val="22"/>
        </w:rPr>
        <w:t>供热企业（单位）拒绝向居民供热，影响面积20万平方米以上，50万平方米以下。</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（2）组织指挥</w:t>
      </w:r>
    </w:p>
    <w:p>
      <w:pPr>
        <w:adjustRightInd w:val="0"/>
        <w:snapToGrid w:val="0"/>
        <w:spacing w:line="560" w:lineRule="exact"/>
        <w:ind w:firstLine="640" w:firstLineChars="200"/>
        <w:rPr>
          <w:rFonts w:eastAsia="仿宋_GB2312"/>
          <w:sz w:val="32"/>
          <w:szCs w:val="22"/>
        </w:rPr>
      </w:pPr>
      <w:r>
        <w:rPr>
          <w:rFonts w:eastAsia="仿宋_GB2312"/>
          <w:sz w:val="32"/>
          <w:szCs w:val="22"/>
        </w:rPr>
        <w:t>在</w:t>
      </w:r>
      <w:r>
        <w:rPr>
          <w:rFonts w:hint="eastAsia" w:eastAsia="仿宋_GB2312"/>
          <w:sz w:val="32"/>
          <w:szCs w:val="22"/>
        </w:rPr>
        <w:t>Ⅲ级响</w:t>
      </w:r>
      <w:r>
        <w:rPr>
          <w:rFonts w:eastAsia="仿宋_GB2312"/>
          <w:sz w:val="32"/>
          <w:szCs w:val="22"/>
        </w:rPr>
        <w:t>应的基础上，当</w:t>
      </w:r>
      <w:r>
        <w:rPr>
          <w:rFonts w:hint="eastAsia" w:eastAsia="仿宋_GB2312"/>
          <w:sz w:val="32"/>
          <w:szCs w:val="22"/>
        </w:rPr>
        <w:t>集中供热事故</w:t>
      </w:r>
      <w:r>
        <w:rPr>
          <w:rFonts w:eastAsia="仿宋_GB2312"/>
          <w:sz w:val="32"/>
          <w:szCs w:val="22"/>
        </w:rPr>
        <w:t>的事态发展持续蔓延、危</w:t>
      </w:r>
      <w:r>
        <w:rPr>
          <w:rFonts w:hint="eastAsia" w:eastAsia="仿宋_GB2312"/>
          <w:sz w:val="32"/>
          <w:szCs w:val="22"/>
        </w:rPr>
        <w:t>害影响继续扩大，需要统筹多个区级部门共同处置、需要调动区级主要应急资源和力量时，启动区级</w:t>
      </w:r>
      <w:r>
        <w:rPr>
          <w:rFonts w:eastAsia="仿宋_GB2312"/>
          <w:sz w:val="32"/>
          <w:szCs w:val="22"/>
        </w:rPr>
        <w:t>Ⅱ</w:t>
      </w:r>
      <w:r>
        <w:rPr>
          <w:rFonts w:hint="eastAsia" w:eastAsia="仿宋_GB2312"/>
          <w:sz w:val="32"/>
          <w:szCs w:val="22"/>
        </w:rPr>
        <w:t>级响应，由区应急指挥部全面负责集中供热事故的应对工作。区应急指挥部根据有关法律法规，组织集中供热事故应对工作，及时向区政府主要领导和市城管局报告集中供热事故处置进展情况，提出集中供热事故处置资源力量和响应级别调整的意见建议。</w:t>
      </w:r>
    </w:p>
    <w:p>
      <w:pPr>
        <w:adjustRightInd w:val="0"/>
        <w:snapToGrid w:val="0"/>
        <w:spacing w:line="560" w:lineRule="exact"/>
        <w:ind w:firstLine="643" w:firstLineChars="200"/>
        <w:rPr>
          <w:rFonts w:eastAsia="仿宋_GB2312"/>
          <w:b/>
          <w:bCs/>
          <w:sz w:val="32"/>
          <w:szCs w:val="22"/>
        </w:rPr>
      </w:pPr>
      <w:r>
        <w:rPr>
          <w:rFonts w:hint="eastAsia" w:eastAsia="仿宋_GB2312"/>
          <w:b/>
          <w:bCs/>
          <w:sz w:val="32"/>
          <w:szCs w:val="22"/>
        </w:rPr>
        <w:t>4.3.1.3Ⅰ级响应</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（1）启动条件</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符合下列条件之一时，启动Ⅰ级响应。</w:t>
      </w:r>
    </w:p>
    <w:p>
      <w:pPr>
        <w:adjustRightInd w:val="0"/>
        <w:snapToGrid w:val="0"/>
        <w:spacing w:line="560" w:lineRule="exact"/>
        <w:ind w:firstLine="640" w:firstLineChars="200"/>
        <w:rPr>
          <w:rFonts w:eastAsia="仿宋_GB2312"/>
          <w:sz w:val="32"/>
          <w:szCs w:val="22"/>
        </w:rPr>
      </w:pPr>
      <w:r>
        <w:rPr>
          <w:rFonts w:eastAsia="仿宋_GB2312"/>
          <w:sz w:val="32"/>
          <w:szCs w:val="22"/>
        </w:rPr>
        <w:t>①</w:t>
      </w:r>
      <w:r>
        <w:rPr>
          <w:rFonts w:hint="eastAsia" w:eastAsia="仿宋_GB2312"/>
          <w:sz w:val="32"/>
          <w:szCs w:val="22"/>
        </w:rPr>
        <w:t>发生集中供热事故，造成直接经济损失人民币1000万以上，或造成较大社会影响。</w:t>
      </w:r>
    </w:p>
    <w:p>
      <w:pPr>
        <w:adjustRightInd w:val="0"/>
        <w:snapToGrid w:val="0"/>
        <w:spacing w:line="560" w:lineRule="exact"/>
        <w:ind w:firstLine="640" w:firstLineChars="200"/>
        <w:rPr>
          <w:rFonts w:eastAsia="仿宋_GB2312"/>
          <w:sz w:val="32"/>
          <w:szCs w:val="22"/>
        </w:rPr>
      </w:pPr>
      <w:r>
        <w:rPr>
          <w:rFonts w:eastAsia="仿宋_GB2312"/>
          <w:sz w:val="32"/>
          <w:szCs w:val="22"/>
        </w:rPr>
        <w:t>②</w:t>
      </w:r>
      <w:r>
        <w:rPr>
          <w:rFonts w:hint="eastAsia" w:eastAsia="仿宋_GB2312"/>
          <w:sz w:val="32"/>
          <w:szCs w:val="22"/>
        </w:rPr>
        <w:t>发生集中供热事故，影响面积150万平方米以上，24小时内不能恢复供热。</w:t>
      </w:r>
    </w:p>
    <w:p>
      <w:pPr>
        <w:adjustRightInd w:val="0"/>
        <w:snapToGrid w:val="0"/>
        <w:spacing w:line="560" w:lineRule="exact"/>
        <w:ind w:firstLine="640" w:firstLineChars="200"/>
        <w:rPr>
          <w:rFonts w:eastAsia="仿宋_GB2312"/>
          <w:sz w:val="32"/>
          <w:szCs w:val="22"/>
        </w:rPr>
      </w:pPr>
      <w:r>
        <w:rPr>
          <w:rFonts w:eastAsia="仿宋_GB2312"/>
          <w:sz w:val="32"/>
          <w:szCs w:val="22"/>
        </w:rPr>
        <w:t>③</w:t>
      </w:r>
      <w:r>
        <w:rPr>
          <w:rFonts w:hint="eastAsia" w:eastAsia="仿宋_GB2312"/>
          <w:sz w:val="32"/>
          <w:szCs w:val="22"/>
        </w:rPr>
        <w:t>供热企业（单位）拒绝向居民供热，影响面积50万平方米以上。</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（2）组织指挥</w:t>
      </w:r>
    </w:p>
    <w:p>
      <w:pPr>
        <w:adjustRightInd w:val="0"/>
        <w:snapToGrid w:val="0"/>
        <w:spacing w:line="560" w:lineRule="exact"/>
        <w:ind w:firstLine="640" w:firstLineChars="200"/>
        <w:rPr>
          <w:rFonts w:eastAsia="仿宋_GB2312"/>
          <w:sz w:val="32"/>
          <w:szCs w:val="22"/>
        </w:rPr>
      </w:pPr>
      <w:r>
        <w:rPr>
          <w:rFonts w:eastAsia="仿宋_GB2312"/>
          <w:sz w:val="32"/>
          <w:szCs w:val="22"/>
        </w:rPr>
        <w:t>在Ⅱ级响应的基础上，当</w:t>
      </w:r>
      <w:r>
        <w:rPr>
          <w:rFonts w:hint="eastAsia" w:eastAsia="仿宋_GB2312"/>
          <w:sz w:val="32"/>
          <w:szCs w:val="22"/>
        </w:rPr>
        <w:t>集中供热事故</w:t>
      </w:r>
      <w:r>
        <w:rPr>
          <w:rFonts w:eastAsia="仿宋_GB2312"/>
          <w:sz w:val="32"/>
          <w:szCs w:val="22"/>
        </w:rPr>
        <w:t>的事态发展持续蔓延、危</w:t>
      </w:r>
      <w:r>
        <w:rPr>
          <w:rFonts w:hint="eastAsia" w:eastAsia="仿宋_GB2312"/>
          <w:sz w:val="32"/>
          <w:szCs w:val="22"/>
        </w:rPr>
        <w:t>害影响继续扩大、需要继续补充应急资源和力量，由区应急指挥部办公室报请区应急指挥部同意后，启动区级Ⅰ级响应。</w:t>
      </w:r>
      <w:r>
        <w:rPr>
          <w:rFonts w:eastAsia="仿宋_GB2312"/>
          <w:sz w:val="32"/>
          <w:szCs w:val="22"/>
        </w:rPr>
        <w:t>Ⅰ级响应应在</w:t>
      </w:r>
      <w:r>
        <w:rPr>
          <w:rFonts w:hint="eastAsia" w:eastAsia="仿宋_GB2312"/>
          <w:sz w:val="32"/>
          <w:szCs w:val="22"/>
        </w:rPr>
        <w:t>区应急指挥部的基础上，进一步加强应急指挥机构，由区</w:t>
      </w:r>
      <w:r>
        <w:rPr>
          <w:rFonts w:eastAsia="仿宋_GB2312"/>
          <w:sz w:val="32"/>
          <w:szCs w:val="22"/>
        </w:rPr>
        <w:t>委、</w:t>
      </w:r>
      <w:r>
        <w:rPr>
          <w:rFonts w:hint="eastAsia" w:eastAsia="仿宋_GB2312"/>
          <w:sz w:val="32"/>
          <w:szCs w:val="22"/>
        </w:rPr>
        <w:t>区</w:t>
      </w:r>
      <w:r>
        <w:rPr>
          <w:rFonts w:eastAsia="仿宋_GB2312"/>
          <w:sz w:val="32"/>
          <w:szCs w:val="22"/>
        </w:rPr>
        <w:t>政府主要</w:t>
      </w:r>
      <w:r>
        <w:rPr>
          <w:rFonts w:hint="eastAsia" w:eastAsia="仿宋_GB2312"/>
          <w:sz w:val="32"/>
          <w:szCs w:val="22"/>
        </w:rPr>
        <w:t>领导担任总指挥，全面组织集中供热事故的应对工作，及时向市城管局报告集中供热事故处置进展情况。根据应急处置工作需要，向市城管局提出请求支援需求，接受上级工作组的指导，积极开展各项应急处置工作。</w:t>
      </w:r>
    </w:p>
    <w:p>
      <w:pPr>
        <w:adjustRightInd w:val="0"/>
        <w:snapToGrid w:val="0"/>
        <w:spacing w:line="560" w:lineRule="exact"/>
        <w:ind w:firstLine="643" w:firstLineChars="200"/>
        <w:rPr>
          <w:rFonts w:eastAsia="仿宋_GB2312"/>
          <w:b/>
          <w:bCs/>
          <w:sz w:val="32"/>
          <w:szCs w:val="22"/>
        </w:rPr>
      </w:pPr>
      <w:r>
        <w:rPr>
          <w:rFonts w:hint="eastAsia" w:eastAsia="仿宋_GB2312"/>
          <w:b/>
          <w:bCs/>
          <w:sz w:val="32"/>
          <w:szCs w:val="22"/>
        </w:rPr>
        <w:t>4.3.2响应措施</w:t>
      </w:r>
    </w:p>
    <w:p>
      <w:pPr>
        <w:adjustRightInd w:val="0"/>
        <w:snapToGrid w:val="0"/>
        <w:spacing w:line="560" w:lineRule="exact"/>
        <w:ind w:firstLine="643" w:firstLineChars="200"/>
        <w:rPr>
          <w:rFonts w:eastAsia="仿宋_GB2312"/>
          <w:b/>
          <w:bCs/>
          <w:sz w:val="32"/>
          <w:szCs w:val="22"/>
        </w:rPr>
      </w:pPr>
      <w:r>
        <w:rPr>
          <w:rFonts w:hint="eastAsia" w:eastAsia="仿宋_GB2312"/>
          <w:b/>
          <w:bCs/>
          <w:sz w:val="32"/>
          <w:szCs w:val="22"/>
        </w:rPr>
        <w:t>4.3.2.1Ⅲ级响应措施</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（1）区应急指挥部办公室通知应急救援队伍和人员赶赴现场，通知支援队伍做好备勤支援准备；</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w:t>
      </w:r>
      <w:r>
        <w:rPr>
          <w:rFonts w:eastAsia="仿宋_GB2312"/>
          <w:sz w:val="32"/>
          <w:szCs w:val="22"/>
        </w:rPr>
        <w:t>2</w:t>
      </w:r>
      <w:r>
        <w:rPr>
          <w:rFonts w:hint="eastAsia" w:eastAsia="仿宋_GB2312"/>
          <w:sz w:val="32"/>
          <w:szCs w:val="22"/>
        </w:rPr>
        <w:t>）区应急指挥部办公室调度处置所需应急救援物资和设备赶赴现场；</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w:t>
      </w:r>
      <w:r>
        <w:rPr>
          <w:rFonts w:eastAsia="仿宋_GB2312"/>
          <w:sz w:val="32"/>
          <w:szCs w:val="22"/>
        </w:rPr>
        <w:t>3</w:t>
      </w:r>
      <w:r>
        <w:rPr>
          <w:rFonts w:hint="eastAsia" w:eastAsia="仿宋_GB2312"/>
          <w:sz w:val="32"/>
          <w:szCs w:val="22"/>
        </w:rPr>
        <w:t>）交警雁塔大队视情况进行交通调流；</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w:t>
      </w:r>
      <w:r>
        <w:rPr>
          <w:rFonts w:eastAsia="仿宋_GB2312"/>
          <w:sz w:val="32"/>
          <w:szCs w:val="22"/>
        </w:rPr>
        <w:t>4</w:t>
      </w:r>
      <w:r>
        <w:rPr>
          <w:rFonts w:hint="eastAsia" w:eastAsia="仿宋_GB2312"/>
          <w:sz w:val="32"/>
          <w:szCs w:val="22"/>
        </w:rPr>
        <w:t>）公安雁塔分局、交警雁塔大队会同相关部门视情况转移、撤离或者疏散容易受到集中供热事故危害的人员和重要财产，并妥善安置；</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w:t>
      </w:r>
      <w:r>
        <w:rPr>
          <w:rFonts w:eastAsia="仿宋_GB2312"/>
          <w:sz w:val="32"/>
          <w:szCs w:val="22"/>
        </w:rPr>
        <w:t>5</w:t>
      </w:r>
      <w:r>
        <w:rPr>
          <w:rFonts w:hint="eastAsia" w:eastAsia="仿宋_GB2312"/>
          <w:sz w:val="32"/>
          <w:szCs w:val="22"/>
        </w:rPr>
        <w:t>）交警雁塔大队会同相关部门组织好现场人员疏散等工作，设置警示标志；</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w:t>
      </w:r>
      <w:r>
        <w:rPr>
          <w:rFonts w:eastAsia="仿宋_GB2312"/>
          <w:sz w:val="32"/>
          <w:szCs w:val="22"/>
        </w:rPr>
        <w:t>6</w:t>
      </w:r>
      <w:r>
        <w:rPr>
          <w:rFonts w:hint="eastAsia" w:eastAsia="仿宋_GB2312"/>
          <w:sz w:val="32"/>
          <w:szCs w:val="22"/>
        </w:rPr>
        <w:t>）必要时，区</w:t>
      </w:r>
      <w:r>
        <w:rPr>
          <w:rFonts w:eastAsia="仿宋_GB2312"/>
          <w:sz w:val="32"/>
          <w:szCs w:val="22"/>
        </w:rPr>
        <w:t>委宣传部</w:t>
      </w:r>
      <w:r>
        <w:rPr>
          <w:rFonts w:hint="eastAsia" w:eastAsia="仿宋_GB2312"/>
          <w:sz w:val="32"/>
          <w:szCs w:val="22"/>
        </w:rPr>
        <w:t>通过媒体进行信息发布和宣传引导，避免引发居民恐慌；</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w:t>
      </w:r>
      <w:r>
        <w:rPr>
          <w:rFonts w:eastAsia="仿宋_GB2312"/>
          <w:sz w:val="32"/>
          <w:szCs w:val="22"/>
        </w:rPr>
        <w:t>7</w:t>
      </w:r>
      <w:r>
        <w:rPr>
          <w:rFonts w:hint="eastAsia" w:eastAsia="仿宋_GB2312"/>
          <w:sz w:val="32"/>
          <w:szCs w:val="22"/>
        </w:rPr>
        <w:t>）法律、法规、规章规定的其他必要措施。</w:t>
      </w:r>
    </w:p>
    <w:p>
      <w:pPr>
        <w:adjustRightInd w:val="0"/>
        <w:snapToGrid w:val="0"/>
        <w:spacing w:line="560" w:lineRule="exact"/>
        <w:ind w:firstLine="643" w:firstLineChars="200"/>
        <w:rPr>
          <w:rFonts w:eastAsia="仿宋_GB2312"/>
          <w:b/>
          <w:bCs/>
          <w:sz w:val="32"/>
          <w:szCs w:val="22"/>
        </w:rPr>
      </w:pPr>
      <w:r>
        <w:rPr>
          <w:rFonts w:hint="eastAsia" w:eastAsia="仿宋_GB2312"/>
          <w:b/>
          <w:bCs/>
          <w:sz w:val="32"/>
          <w:szCs w:val="22"/>
        </w:rPr>
        <w:t>4.3.2.2</w:t>
      </w:r>
      <w:r>
        <w:rPr>
          <w:rFonts w:eastAsia="仿宋_GB2312"/>
          <w:b/>
          <w:bCs/>
          <w:sz w:val="32"/>
          <w:szCs w:val="22"/>
        </w:rPr>
        <w:t>Ⅱ级响应</w:t>
      </w:r>
      <w:r>
        <w:rPr>
          <w:rFonts w:hint="eastAsia" w:eastAsia="仿宋_GB2312"/>
          <w:b/>
          <w:bCs/>
          <w:sz w:val="32"/>
          <w:szCs w:val="22"/>
        </w:rPr>
        <w:t>措施</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在采取Ⅲ级响应措施的基础上，采取下列一项或多项措施：</w:t>
      </w:r>
    </w:p>
    <w:p>
      <w:pPr>
        <w:adjustRightInd w:val="0"/>
        <w:snapToGrid w:val="0"/>
        <w:spacing w:line="560" w:lineRule="exact"/>
        <w:ind w:firstLine="640" w:firstLineChars="200"/>
        <w:rPr>
          <w:rFonts w:eastAsia="仿宋_GB2312"/>
          <w:sz w:val="32"/>
          <w:szCs w:val="22"/>
        </w:rPr>
      </w:pPr>
      <w:r>
        <w:rPr>
          <w:rFonts w:eastAsia="仿宋_GB2312"/>
          <w:sz w:val="32"/>
          <w:szCs w:val="22"/>
        </w:rPr>
        <w:t>（1</w:t>
      </w:r>
      <w:r>
        <w:rPr>
          <w:rFonts w:hint="eastAsia" w:eastAsia="仿宋_GB2312"/>
          <w:sz w:val="32"/>
          <w:szCs w:val="22"/>
        </w:rPr>
        <w:t>）区应急指挥部办公室视情况调度应急救援人员、物资、设备赶赴现场参与处置；</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w:t>
      </w:r>
      <w:r>
        <w:rPr>
          <w:rFonts w:eastAsia="仿宋_GB2312"/>
          <w:sz w:val="32"/>
          <w:szCs w:val="22"/>
        </w:rPr>
        <w:t>2</w:t>
      </w:r>
      <w:r>
        <w:rPr>
          <w:rFonts w:hint="eastAsia" w:eastAsia="仿宋_GB2312"/>
          <w:sz w:val="32"/>
          <w:szCs w:val="22"/>
        </w:rPr>
        <w:t>）交警雁塔大队会同相关部门做好现场交通管制等工作，为现场提供抢修条件；</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w:t>
      </w:r>
      <w:r>
        <w:rPr>
          <w:rFonts w:eastAsia="仿宋_GB2312"/>
          <w:sz w:val="32"/>
          <w:szCs w:val="22"/>
        </w:rPr>
        <w:t>3</w:t>
      </w:r>
      <w:r>
        <w:rPr>
          <w:rFonts w:hint="eastAsia" w:eastAsia="仿宋_GB2312"/>
          <w:sz w:val="32"/>
          <w:szCs w:val="22"/>
        </w:rPr>
        <w:t>）区城管局、区住建局、事故涉及的街办，通知单位和居民做好应急取暖相关工作；</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（4）法律、法规、规章规定的其他必要措施。</w:t>
      </w:r>
    </w:p>
    <w:p>
      <w:pPr>
        <w:adjustRightInd w:val="0"/>
        <w:snapToGrid w:val="0"/>
        <w:spacing w:line="560" w:lineRule="exact"/>
        <w:ind w:firstLine="643" w:firstLineChars="200"/>
        <w:rPr>
          <w:rFonts w:eastAsia="仿宋_GB2312"/>
          <w:b/>
          <w:bCs/>
          <w:sz w:val="32"/>
          <w:szCs w:val="22"/>
        </w:rPr>
      </w:pPr>
      <w:r>
        <w:rPr>
          <w:rFonts w:hint="eastAsia" w:eastAsia="仿宋_GB2312"/>
          <w:b/>
          <w:bCs/>
          <w:sz w:val="32"/>
          <w:szCs w:val="22"/>
        </w:rPr>
        <w:t>4.3.2.3Ⅰ级响应措施</w:t>
      </w:r>
    </w:p>
    <w:p>
      <w:pPr>
        <w:adjustRightInd w:val="0"/>
        <w:snapToGrid w:val="0"/>
        <w:spacing w:line="560" w:lineRule="exact"/>
        <w:ind w:firstLine="640" w:firstLineChars="200"/>
        <w:rPr>
          <w:rFonts w:eastAsia="仿宋_GB2312"/>
          <w:sz w:val="32"/>
          <w:szCs w:val="22"/>
        </w:rPr>
      </w:pPr>
      <w:r>
        <w:rPr>
          <w:rFonts w:eastAsia="仿宋_GB2312"/>
          <w:sz w:val="32"/>
          <w:szCs w:val="22"/>
        </w:rPr>
        <w:t>在采取Ⅱ级响应</w:t>
      </w:r>
      <w:r>
        <w:rPr>
          <w:rFonts w:hint="eastAsia" w:eastAsia="仿宋_GB2312"/>
          <w:sz w:val="32"/>
          <w:szCs w:val="22"/>
        </w:rPr>
        <w:t>措施</w:t>
      </w:r>
      <w:r>
        <w:rPr>
          <w:rFonts w:eastAsia="仿宋_GB2312"/>
          <w:sz w:val="32"/>
          <w:szCs w:val="22"/>
        </w:rPr>
        <w:t>的基础上，采取下列一项或多</w:t>
      </w:r>
      <w:r>
        <w:rPr>
          <w:rFonts w:hint="eastAsia" w:eastAsia="仿宋_GB2312"/>
          <w:sz w:val="32"/>
          <w:szCs w:val="22"/>
        </w:rPr>
        <w:t>项措施：</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w:t>
      </w:r>
      <w:r>
        <w:rPr>
          <w:rFonts w:eastAsia="仿宋_GB2312"/>
          <w:sz w:val="32"/>
          <w:szCs w:val="22"/>
        </w:rPr>
        <w:t>1</w:t>
      </w:r>
      <w:r>
        <w:rPr>
          <w:rFonts w:hint="eastAsia" w:eastAsia="仿宋_GB2312"/>
          <w:sz w:val="32"/>
          <w:szCs w:val="22"/>
        </w:rPr>
        <w:t>）区应急指挥部办公室通知各单位、企业和家庭提前准备空调、电暖器等取暖设施；</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w:t>
      </w:r>
      <w:r>
        <w:rPr>
          <w:rFonts w:eastAsia="仿宋_GB2312"/>
          <w:sz w:val="32"/>
          <w:szCs w:val="22"/>
        </w:rPr>
        <w:t>2</w:t>
      </w:r>
      <w:r>
        <w:rPr>
          <w:rFonts w:hint="eastAsia" w:eastAsia="仿宋_GB2312"/>
          <w:sz w:val="32"/>
          <w:szCs w:val="22"/>
        </w:rPr>
        <w:t>）事故涉及的供热企业对非居民用户用热进行限供，优先保障居民用户用热；</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（3）区应急指挥部办公室</w:t>
      </w:r>
      <w:r>
        <w:rPr>
          <w:rFonts w:eastAsia="仿宋_GB2312"/>
          <w:sz w:val="32"/>
          <w:szCs w:val="22"/>
        </w:rPr>
        <w:t>对重点用热单位、居民区，调配应急热源予以保障；</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（4）法律、法规、规章规定的其他必要措施。</w:t>
      </w:r>
    </w:p>
    <w:p>
      <w:pPr>
        <w:adjustRightInd w:val="0"/>
        <w:snapToGrid w:val="0"/>
        <w:spacing w:line="560" w:lineRule="exact"/>
        <w:ind w:firstLine="643" w:firstLineChars="200"/>
        <w:rPr>
          <w:rFonts w:eastAsia="仿宋_GB2312"/>
          <w:b/>
          <w:bCs/>
          <w:sz w:val="32"/>
          <w:szCs w:val="22"/>
        </w:rPr>
      </w:pPr>
      <w:r>
        <w:rPr>
          <w:rFonts w:hint="eastAsia" w:eastAsia="仿宋_GB2312"/>
          <w:b/>
          <w:bCs/>
          <w:sz w:val="32"/>
          <w:szCs w:val="22"/>
        </w:rPr>
        <w:t>4.3.2.4疫情封控期间响应措施</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疫情封控期间，区应急指挥部应与西安市雁塔区疫情防控指挥部保持有效沟通，以便于能及时、高效地处置在封控期内发生的集中供热事故，</w:t>
      </w:r>
      <w:r>
        <w:rPr>
          <w:rFonts w:eastAsia="仿宋_GB2312"/>
          <w:sz w:val="32"/>
          <w:szCs w:val="22"/>
        </w:rPr>
        <w:t>减轻</w:t>
      </w:r>
      <w:r>
        <w:rPr>
          <w:rFonts w:hint="eastAsia" w:eastAsia="仿宋_GB2312"/>
          <w:sz w:val="32"/>
          <w:szCs w:val="22"/>
        </w:rPr>
        <w:t>集中供热事故</w:t>
      </w:r>
      <w:r>
        <w:rPr>
          <w:rFonts w:eastAsia="仿宋_GB2312"/>
          <w:sz w:val="32"/>
          <w:szCs w:val="22"/>
        </w:rPr>
        <w:t>对人民群众生活产生的影响。</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供热公司应在所在街办（园办）疫情防控指挥部提前办理通行证，以便于供热抢修工作的开展。当市政道路上出现供热管线破损，供热企业立即派出抢修人员前往事故现场进行抢修，并及时向属地供热管理部门报告事故信息。抢修人员应该按照疫情防控要求，做好个人防护工作的前提下开展抢修工作。</w:t>
      </w:r>
    </w:p>
    <w:p>
      <w:pPr>
        <w:adjustRightInd w:val="0"/>
        <w:snapToGrid w:val="0"/>
        <w:spacing w:line="560" w:lineRule="exact"/>
        <w:ind w:firstLine="643" w:firstLineChars="200"/>
        <w:rPr>
          <w:rFonts w:eastAsia="仿宋_GB2312"/>
          <w:sz w:val="32"/>
          <w:szCs w:val="22"/>
        </w:rPr>
      </w:pPr>
      <w:bookmarkStart w:id="45" w:name="_Toc14526"/>
      <w:bookmarkStart w:id="46" w:name="_Toc16991"/>
      <w:r>
        <w:rPr>
          <w:rFonts w:hint="eastAsia" w:eastAsia="仿宋_GB2312"/>
          <w:b/>
          <w:bCs/>
          <w:sz w:val="32"/>
          <w:szCs w:val="22"/>
        </w:rPr>
        <w:t>4.4应急结束</w:t>
      </w:r>
      <w:bookmarkEnd w:id="45"/>
      <w:bookmarkEnd w:id="46"/>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区应急指挥部</w:t>
      </w:r>
      <w:r>
        <w:rPr>
          <w:rFonts w:eastAsia="仿宋_GB2312"/>
          <w:sz w:val="32"/>
          <w:szCs w:val="22"/>
        </w:rPr>
        <w:t>组织专家指导组和相关应急工作组，对</w:t>
      </w:r>
      <w:r>
        <w:rPr>
          <w:rFonts w:hint="eastAsia" w:eastAsia="仿宋_GB2312"/>
          <w:sz w:val="32"/>
          <w:szCs w:val="22"/>
        </w:rPr>
        <w:t>集中供热事故现场情况进行研判，认为事件已全部得到有效处置，相关风险被全部排除，且无发生次生、衍生事件可能性时，可作出应急结束的决定，由区应急指挥部办公室通知各应急工作组和参与应急处置的各方力量，安全有序的终止各项应急措施。</w:t>
      </w:r>
    </w:p>
    <w:p>
      <w:pPr>
        <w:adjustRightInd w:val="0"/>
        <w:snapToGrid w:val="0"/>
        <w:spacing w:line="560" w:lineRule="exact"/>
        <w:ind w:firstLine="643" w:firstLineChars="200"/>
        <w:rPr>
          <w:rFonts w:eastAsia="仿宋_GB2312"/>
          <w:sz w:val="32"/>
          <w:szCs w:val="22"/>
        </w:rPr>
      </w:pPr>
      <w:bookmarkStart w:id="47" w:name="_Toc24919"/>
      <w:bookmarkStart w:id="48" w:name="_Toc12062"/>
      <w:r>
        <w:rPr>
          <w:rFonts w:hint="eastAsia" w:eastAsia="仿宋_GB2312"/>
          <w:b/>
          <w:bCs/>
          <w:sz w:val="32"/>
          <w:szCs w:val="22"/>
        </w:rPr>
        <w:t>4.5信息发布</w:t>
      </w:r>
      <w:bookmarkEnd w:id="47"/>
      <w:bookmarkEnd w:id="48"/>
    </w:p>
    <w:p>
      <w:pPr>
        <w:adjustRightInd w:val="0"/>
        <w:snapToGrid w:val="0"/>
        <w:spacing w:line="560" w:lineRule="exact"/>
        <w:ind w:firstLine="640" w:firstLineChars="200"/>
        <w:rPr>
          <w:rFonts w:eastAsia="仿宋_GB2312"/>
          <w:sz w:val="32"/>
          <w:szCs w:val="22"/>
        </w:rPr>
      </w:pPr>
      <w:r>
        <w:rPr>
          <w:rFonts w:hint="eastAsia" w:eastAsia="仿宋_GB2312"/>
          <w:sz w:val="32"/>
          <w:szCs w:val="22"/>
        </w:rPr>
        <w:t>信息发布应坚持实事求是、及时准确、科学公正的原则，由区应急指挥部或者授权其宣传舆情组统一协调、组织报道，通过接受记者采访、召开新闻发布会等多种方式，利用广播、电视、报纸、政府网站、重点新闻网站、微博、微信等多种途径，发布事件及应急处置工作情况，回应社会关切，澄清不实信息，正确引导舆论。</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集中供热事故信息由区应急指挥部报请区政府批准，按要求统一发布。第一时间向社会发布权威信息，并根据集中供热事故发展情况，组织做好后续信息发布工作。信息发布内容应当包括事件概况、严重程度、影响范围、应对措施、需要公众配合采取的措施、公众防范常识和处理进展情况等。</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未经授权，任何单位及个人不得发布集中供热事故信息。</w:t>
      </w:r>
    </w:p>
    <w:p>
      <w:pPr>
        <w:adjustRightInd w:val="0"/>
        <w:snapToGrid w:val="0"/>
        <w:spacing w:line="560" w:lineRule="exact"/>
        <w:ind w:firstLine="640" w:firstLineChars="200"/>
        <w:rPr>
          <w:rFonts w:ascii="黑体" w:hAnsi="黑体" w:eastAsia="黑体"/>
          <w:sz w:val="32"/>
          <w:szCs w:val="22"/>
        </w:rPr>
      </w:pPr>
      <w:bookmarkStart w:id="49" w:name="_Toc23882"/>
      <w:bookmarkStart w:id="50" w:name="_Toc9397"/>
      <w:r>
        <w:rPr>
          <w:rFonts w:hint="eastAsia" w:ascii="黑体" w:hAnsi="黑体" w:eastAsia="黑体"/>
          <w:sz w:val="32"/>
          <w:szCs w:val="22"/>
        </w:rPr>
        <w:t>5后期处置</w:t>
      </w:r>
      <w:bookmarkEnd w:id="49"/>
      <w:bookmarkEnd w:id="50"/>
    </w:p>
    <w:p>
      <w:pPr>
        <w:adjustRightInd w:val="0"/>
        <w:snapToGrid w:val="0"/>
        <w:spacing w:line="560" w:lineRule="exact"/>
        <w:ind w:firstLine="643" w:firstLineChars="200"/>
        <w:rPr>
          <w:rFonts w:eastAsia="仿宋_GB2312"/>
          <w:b/>
          <w:bCs/>
          <w:sz w:val="32"/>
          <w:szCs w:val="22"/>
        </w:rPr>
      </w:pPr>
      <w:bookmarkStart w:id="51" w:name="_Toc15948"/>
      <w:bookmarkStart w:id="52" w:name="_Toc26240"/>
      <w:r>
        <w:rPr>
          <w:rFonts w:hint="eastAsia" w:eastAsia="仿宋_GB2312"/>
          <w:b/>
          <w:bCs/>
          <w:sz w:val="32"/>
          <w:szCs w:val="22"/>
        </w:rPr>
        <w:t>5.1善后处置</w:t>
      </w:r>
      <w:bookmarkEnd w:id="51"/>
      <w:bookmarkEnd w:id="52"/>
    </w:p>
    <w:p>
      <w:pPr>
        <w:adjustRightInd w:val="0"/>
        <w:snapToGrid w:val="0"/>
        <w:spacing w:line="560" w:lineRule="exact"/>
        <w:ind w:firstLine="640" w:firstLineChars="200"/>
        <w:rPr>
          <w:rFonts w:eastAsia="仿宋_GB2312"/>
          <w:sz w:val="32"/>
          <w:szCs w:val="22"/>
        </w:rPr>
      </w:pPr>
      <w:r>
        <w:rPr>
          <w:rFonts w:hint="eastAsia" w:eastAsia="仿宋_GB2312"/>
          <w:sz w:val="32"/>
          <w:szCs w:val="22"/>
        </w:rPr>
        <w:t>应急响应结束后，区应急指挥部根据需要和实际情况，选派相关成员单位成立善后处置组，开展集中供热事故善后处置工作，妥善救治受伤人员，慰问伤亡人员家属，统计和抚恤因公殉职人员，保障转移安置人员的水、食物、住宿和卫生等基本需求，收集、清理和处置事件现场有毒有害物质，鉴定评估受损的建筑物和构筑物，督导保险机构做好理赔工作，保证社会秩序稳定。</w:t>
      </w:r>
    </w:p>
    <w:p>
      <w:pPr>
        <w:adjustRightInd w:val="0"/>
        <w:snapToGrid w:val="0"/>
        <w:spacing w:line="560" w:lineRule="exact"/>
        <w:ind w:firstLine="643" w:firstLineChars="200"/>
        <w:rPr>
          <w:rFonts w:eastAsia="仿宋_GB2312"/>
          <w:b/>
          <w:bCs/>
          <w:sz w:val="32"/>
          <w:szCs w:val="22"/>
        </w:rPr>
      </w:pPr>
      <w:bookmarkStart w:id="53" w:name="_Toc31968"/>
      <w:bookmarkStart w:id="54" w:name="_Toc21089"/>
      <w:bookmarkStart w:id="55" w:name="_Toc2750"/>
      <w:bookmarkStart w:id="56" w:name="_Toc15898"/>
      <w:r>
        <w:rPr>
          <w:rFonts w:hint="eastAsia" w:eastAsia="仿宋_GB2312"/>
          <w:b/>
          <w:bCs/>
          <w:sz w:val="32"/>
          <w:szCs w:val="22"/>
        </w:rPr>
        <w:t>5.2调查、评估和总结</w:t>
      </w:r>
      <w:bookmarkEnd w:id="53"/>
      <w:bookmarkEnd w:id="54"/>
      <w:bookmarkEnd w:id="55"/>
      <w:bookmarkEnd w:id="56"/>
    </w:p>
    <w:p>
      <w:pPr>
        <w:adjustRightInd w:val="0"/>
        <w:snapToGrid w:val="0"/>
        <w:spacing w:line="560" w:lineRule="exact"/>
        <w:ind w:firstLine="640" w:firstLineChars="200"/>
        <w:rPr>
          <w:rFonts w:eastAsia="仿宋_GB2312"/>
          <w:sz w:val="32"/>
          <w:szCs w:val="22"/>
        </w:rPr>
      </w:pPr>
      <w:r>
        <w:rPr>
          <w:rFonts w:hint="eastAsia" w:eastAsia="仿宋_GB2312"/>
          <w:sz w:val="32"/>
          <w:szCs w:val="22"/>
        </w:rPr>
        <w:t>集中供热事故的调查、评估和总结工作由区政府组织相关部门组成事件调查组负责，调查、评估和总结集中供热事故发生单位概况，集中供热事故发生经过和应急救援处置情况，集中供热事故造成的人员伤亡、直接经济损失和影响范围，集中供热事故发生原因和事件性质，集中供热事故的责任认定以及对相关责任者的处理建议，集中供热事故防范和整改措施，集中供热事故应急处置的经验教训等；形成集中供热事故调查、总结和评估报告。</w:t>
      </w:r>
    </w:p>
    <w:p>
      <w:pPr>
        <w:adjustRightInd w:val="0"/>
        <w:snapToGrid w:val="0"/>
        <w:spacing w:line="560" w:lineRule="exact"/>
        <w:ind w:firstLine="643" w:firstLineChars="200"/>
        <w:rPr>
          <w:rFonts w:eastAsia="仿宋_GB2312"/>
          <w:sz w:val="32"/>
          <w:szCs w:val="22"/>
        </w:rPr>
      </w:pPr>
      <w:bookmarkStart w:id="57" w:name="_Toc7207"/>
      <w:bookmarkStart w:id="58" w:name="_Toc4039"/>
      <w:r>
        <w:rPr>
          <w:rFonts w:hint="eastAsia" w:eastAsia="仿宋_GB2312"/>
          <w:b/>
          <w:bCs/>
          <w:sz w:val="32"/>
          <w:szCs w:val="22"/>
        </w:rPr>
        <w:t>5.3现场恢复</w:t>
      </w:r>
      <w:bookmarkEnd w:id="57"/>
      <w:bookmarkEnd w:id="58"/>
    </w:p>
    <w:p>
      <w:pPr>
        <w:adjustRightInd w:val="0"/>
        <w:snapToGrid w:val="0"/>
        <w:spacing w:line="560" w:lineRule="exact"/>
        <w:ind w:firstLine="640" w:firstLineChars="200"/>
        <w:rPr>
          <w:rFonts w:eastAsia="仿宋_GB2312"/>
          <w:sz w:val="32"/>
          <w:szCs w:val="22"/>
        </w:rPr>
      </w:pPr>
      <w:r>
        <w:rPr>
          <w:rFonts w:hint="eastAsia" w:eastAsia="仿宋_GB2312"/>
          <w:sz w:val="32"/>
          <w:szCs w:val="22"/>
        </w:rPr>
        <w:t>集中供热事故应急响应结束、现场勘查和污染处置等工作完成后，现场恢复工作随即展开；现场恢复工作应制定科学、合理、向实、可行的实施方案，按照相关法律法规的规定审批通过后组织实施；现场恢复工作包括供热的恢复，受损建筑物和构筑物的修复，疏散避险人员的回迁，集中供热事故影响范围内生产、生活秩序的恢复等。</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集中供热事故的现场恢复由各街办（园办）组织，需要上级支持的，应按照相关规定提出请求。</w:t>
      </w:r>
    </w:p>
    <w:p>
      <w:pPr>
        <w:adjustRightInd w:val="0"/>
        <w:snapToGrid w:val="0"/>
        <w:spacing w:line="560" w:lineRule="exact"/>
        <w:ind w:firstLine="640" w:firstLineChars="200"/>
        <w:rPr>
          <w:rFonts w:ascii="黑体" w:hAnsi="黑体" w:eastAsia="黑体"/>
          <w:sz w:val="32"/>
          <w:szCs w:val="22"/>
        </w:rPr>
      </w:pPr>
      <w:bookmarkStart w:id="59" w:name="_Toc28112"/>
      <w:bookmarkStart w:id="60" w:name="_Toc22039"/>
      <w:r>
        <w:rPr>
          <w:rFonts w:hint="eastAsia" w:ascii="黑体" w:hAnsi="黑体" w:eastAsia="黑体"/>
          <w:sz w:val="32"/>
          <w:szCs w:val="22"/>
        </w:rPr>
        <w:t>6应急保障</w:t>
      </w:r>
      <w:bookmarkEnd w:id="59"/>
      <w:bookmarkEnd w:id="60"/>
    </w:p>
    <w:p>
      <w:pPr>
        <w:adjustRightInd w:val="0"/>
        <w:snapToGrid w:val="0"/>
        <w:spacing w:line="560" w:lineRule="exact"/>
        <w:ind w:firstLine="643" w:firstLineChars="200"/>
        <w:rPr>
          <w:rFonts w:eastAsia="仿宋_GB2312"/>
          <w:b/>
          <w:bCs/>
          <w:sz w:val="32"/>
          <w:szCs w:val="22"/>
        </w:rPr>
      </w:pPr>
      <w:bookmarkStart w:id="61" w:name="_Toc9801"/>
      <w:bookmarkStart w:id="62" w:name="_Toc1356"/>
      <w:r>
        <w:rPr>
          <w:rFonts w:hint="eastAsia" w:eastAsia="仿宋_GB2312"/>
          <w:b/>
          <w:bCs/>
          <w:sz w:val="32"/>
          <w:szCs w:val="22"/>
        </w:rPr>
        <w:t>6.1通信信息保障</w:t>
      </w:r>
      <w:bookmarkEnd w:id="61"/>
      <w:bookmarkEnd w:id="62"/>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区应急指挥部</w:t>
      </w:r>
      <w:r>
        <w:rPr>
          <w:rFonts w:eastAsia="仿宋_GB2312"/>
          <w:sz w:val="32"/>
          <w:szCs w:val="22"/>
        </w:rPr>
        <w:t>办公室</w:t>
      </w:r>
      <w:r>
        <w:rPr>
          <w:rFonts w:hint="eastAsia" w:eastAsia="仿宋_GB2312"/>
          <w:sz w:val="32"/>
          <w:szCs w:val="22"/>
        </w:rPr>
        <w:t>建立应急值班制度，设立</w:t>
      </w:r>
      <w:r>
        <w:rPr>
          <w:rFonts w:eastAsia="仿宋_GB2312"/>
          <w:sz w:val="32"/>
          <w:szCs w:val="22"/>
        </w:rPr>
        <w:t>值班电话并派专人值守</w:t>
      </w:r>
      <w:r>
        <w:rPr>
          <w:rFonts w:hint="eastAsia" w:eastAsia="仿宋_GB2312"/>
          <w:sz w:val="32"/>
          <w:szCs w:val="22"/>
        </w:rPr>
        <w:t>；各成员单位上报应急联络人和联络方式，由区应急指挥部办公室统计形成《西安市雁塔区集中供热事故应急通讯录》，并由各成员单位备份；区应急指挥部办公室应储备适量的对讲装备。</w:t>
      </w:r>
    </w:p>
    <w:p>
      <w:pPr>
        <w:adjustRightInd w:val="0"/>
        <w:snapToGrid w:val="0"/>
        <w:spacing w:line="560" w:lineRule="exact"/>
        <w:ind w:firstLine="643" w:firstLineChars="200"/>
        <w:rPr>
          <w:rFonts w:eastAsia="仿宋_GB2312"/>
          <w:sz w:val="32"/>
          <w:szCs w:val="22"/>
        </w:rPr>
      </w:pPr>
      <w:bookmarkStart w:id="63" w:name="_Toc383"/>
      <w:bookmarkStart w:id="64" w:name="_Toc14382"/>
      <w:r>
        <w:rPr>
          <w:rFonts w:eastAsia="仿宋_GB2312"/>
          <w:b/>
          <w:sz w:val="32"/>
          <w:szCs w:val="22"/>
        </w:rPr>
        <w:t>6.2</w:t>
      </w:r>
      <w:r>
        <w:rPr>
          <w:rFonts w:hint="eastAsia" w:eastAsia="仿宋_GB2312"/>
          <w:b/>
          <w:sz w:val="32"/>
          <w:szCs w:val="22"/>
        </w:rPr>
        <w:t>应急队伍保障</w:t>
      </w:r>
      <w:bookmarkEnd w:id="63"/>
      <w:bookmarkEnd w:id="64"/>
    </w:p>
    <w:p>
      <w:pPr>
        <w:adjustRightInd w:val="0"/>
        <w:snapToGrid w:val="0"/>
        <w:spacing w:line="560" w:lineRule="exact"/>
        <w:ind w:firstLine="640" w:firstLineChars="200"/>
        <w:rPr>
          <w:rFonts w:eastAsia="仿宋_GB2312"/>
          <w:sz w:val="32"/>
          <w:szCs w:val="22"/>
        </w:rPr>
      </w:pPr>
      <w:r>
        <w:rPr>
          <w:rFonts w:hint="eastAsia" w:eastAsia="仿宋_GB2312"/>
          <w:sz w:val="32"/>
          <w:szCs w:val="22"/>
        </w:rPr>
        <w:t>集中</w:t>
      </w:r>
      <w:r>
        <w:rPr>
          <w:rFonts w:eastAsia="仿宋_GB2312"/>
          <w:sz w:val="32"/>
          <w:szCs w:val="22"/>
        </w:rPr>
        <w:t>供热事故应急队伍主要</w:t>
      </w:r>
      <w:r>
        <w:rPr>
          <w:rFonts w:hint="eastAsia" w:eastAsia="仿宋_GB2312"/>
          <w:sz w:val="32"/>
          <w:szCs w:val="22"/>
        </w:rPr>
        <w:t>是依托</w:t>
      </w:r>
      <w:r>
        <w:rPr>
          <w:rFonts w:eastAsia="仿宋_GB2312"/>
          <w:sz w:val="32"/>
          <w:szCs w:val="22"/>
        </w:rPr>
        <w:t>供热企业</w:t>
      </w:r>
      <w:r>
        <w:rPr>
          <w:rFonts w:hint="eastAsia" w:eastAsia="仿宋_GB2312"/>
          <w:sz w:val="32"/>
          <w:szCs w:val="22"/>
        </w:rPr>
        <w:t>抢修队，各集中供热事故抢险队须定期开展集中供热事故应急培训和演练，保证专业抢险能力。针对较为重大集中供热事故，必要时可由区应急指挥部协调、调配供热企业相关抢修资源（包括：抢险救援队伍、大型机械设备资源），实现资源共享，提升抢险效率</w:t>
      </w:r>
      <w:r>
        <w:rPr>
          <w:rFonts w:eastAsia="仿宋_GB2312"/>
          <w:sz w:val="32"/>
          <w:szCs w:val="22"/>
        </w:rPr>
        <w:t>。</w:t>
      </w:r>
    </w:p>
    <w:p>
      <w:pPr>
        <w:adjustRightInd w:val="0"/>
        <w:snapToGrid w:val="0"/>
        <w:spacing w:line="560" w:lineRule="exact"/>
        <w:ind w:firstLine="643" w:firstLineChars="200"/>
        <w:rPr>
          <w:rFonts w:eastAsia="仿宋_GB2312"/>
          <w:b/>
          <w:bCs/>
          <w:sz w:val="32"/>
          <w:szCs w:val="22"/>
        </w:rPr>
      </w:pPr>
      <w:bookmarkStart w:id="65" w:name="_Toc15548"/>
      <w:bookmarkStart w:id="66" w:name="_Toc8876"/>
      <w:bookmarkStart w:id="67" w:name="_Toc5959"/>
      <w:bookmarkStart w:id="68" w:name="_Toc922"/>
      <w:r>
        <w:rPr>
          <w:rFonts w:hint="eastAsia" w:eastAsia="仿宋_GB2312"/>
          <w:b/>
          <w:bCs/>
          <w:sz w:val="32"/>
          <w:szCs w:val="22"/>
        </w:rPr>
        <w:t xml:space="preserve"> 6.3</w:t>
      </w:r>
      <w:r>
        <w:rPr>
          <w:rFonts w:eastAsia="仿宋_GB2312"/>
          <w:b/>
          <w:bCs/>
          <w:sz w:val="32"/>
          <w:szCs w:val="22"/>
        </w:rPr>
        <w:t>物资装备保障</w:t>
      </w:r>
      <w:bookmarkEnd w:id="65"/>
      <w:bookmarkEnd w:id="66"/>
      <w:bookmarkEnd w:id="67"/>
      <w:bookmarkEnd w:id="68"/>
    </w:p>
    <w:p>
      <w:pPr>
        <w:adjustRightInd w:val="0"/>
        <w:snapToGrid w:val="0"/>
        <w:spacing w:line="560" w:lineRule="exact"/>
        <w:ind w:firstLine="640" w:firstLineChars="200"/>
        <w:rPr>
          <w:rFonts w:eastAsia="仿宋_GB2312"/>
          <w:sz w:val="32"/>
          <w:szCs w:val="22"/>
        </w:rPr>
      </w:pPr>
      <w:r>
        <w:rPr>
          <w:rFonts w:eastAsia="仿宋_GB2312"/>
          <w:sz w:val="32"/>
          <w:szCs w:val="22"/>
        </w:rPr>
        <w:t>供热企业、用户应根据本单位供热事故风险，配备和储备必要的工具设备、专用车辆、抢险设备、备品备件等救援物资装备，并建立应急物资装备管理台账，并做好维护和更新工作，确保救援装备和物资齐全、有效、可靠。</w:t>
      </w:r>
    </w:p>
    <w:p>
      <w:pPr>
        <w:adjustRightInd w:val="0"/>
        <w:snapToGrid w:val="0"/>
        <w:spacing w:line="560" w:lineRule="exact"/>
        <w:ind w:firstLine="640" w:firstLineChars="200"/>
        <w:rPr>
          <w:rFonts w:eastAsia="仿宋_GB2312"/>
          <w:sz w:val="32"/>
          <w:szCs w:val="22"/>
        </w:rPr>
      </w:pPr>
      <w:r>
        <w:rPr>
          <w:rFonts w:eastAsia="仿宋_GB2312"/>
          <w:sz w:val="32"/>
          <w:szCs w:val="22"/>
        </w:rPr>
        <w:t>区</w:t>
      </w:r>
      <w:r>
        <w:rPr>
          <w:rFonts w:hint="eastAsia" w:eastAsia="仿宋_GB2312"/>
          <w:sz w:val="32"/>
          <w:szCs w:val="22"/>
        </w:rPr>
        <w:t>应急指挥部</w:t>
      </w:r>
      <w:r>
        <w:rPr>
          <w:rFonts w:eastAsia="仿宋_GB2312"/>
          <w:sz w:val="32"/>
          <w:szCs w:val="22"/>
        </w:rPr>
        <w:t>组织建立应急物资装备排查制度，各有关单位应根据职责分工，开展应急物资装备排查，明确功能、类型、性能、数量、存放位置和联系方式，方便应急响应时进行协调、调运、征用和购买。</w:t>
      </w:r>
    </w:p>
    <w:p>
      <w:pPr>
        <w:adjustRightInd w:val="0"/>
        <w:snapToGrid w:val="0"/>
        <w:spacing w:line="560" w:lineRule="exact"/>
        <w:ind w:firstLine="640" w:firstLineChars="200"/>
        <w:rPr>
          <w:rFonts w:eastAsia="仿宋_GB2312"/>
          <w:sz w:val="32"/>
          <w:szCs w:val="22"/>
        </w:rPr>
      </w:pPr>
      <w:r>
        <w:rPr>
          <w:rFonts w:eastAsia="仿宋_GB2312"/>
          <w:sz w:val="32"/>
          <w:szCs w:val="22"/>
        </w:rPr>
        <w:t>区</w:t>
      </w:r>
      <w:r>
        <w:rPr>
          <w:rFonts w:hint="eastAsia" w:eastAsia="仿宋_GB2312"/>
          <w:sz w:val="32"/>
          <w:szCs w:val="22"/>
        </w:rPr>
        <w:t>应急指挥部</w:t>
      </w:r>
      <w:r>
        <w:rPr>
          <w:rFonts w:eastAsia="仿宋_GB2312"/>
          <w:sz w:val="32"/>
          <w:szCs w:val="22"/>
        </w:rPr>
        <w:t>办公室汇总各单位应急物资信息，建立</w:t>
      </w:r>
      <w:r>
        <w:rPr>
          <w:rFonts w:hint="eastAsia" w:eastAsia="仿宋_GB2312"/>
          <w:sz w:val="32"/>
          <w:szCs w:val="22"/>
        </w:rPr>
        <w:t>雁塔</w:t>
      </w:r>
      <w:r>
        <w:rPr>
          <w:rFonts w:eastAsia="仿宋_GB2312"/>
          <w:sz w:val="32"/>
          <w:szCs w:val="22"/>
        </w:rPr>
        <w:t>区供热事故应急物资装备管理台账，统一调配和管理。必要时区</w:t>
      </w:r>
      <w:r>
        <w:rPr>
          <w:rFonts w:hint="eastAsia" w:eastAsia="仿宋_GB2312"/>
          <w:sz w:val="32"/>
          <w:szCs w:val="22"/>
        </w:rPr>
        <w:t>应急指挥部</w:t>
      </w:r>
      <w:r>
        <w:rPr>
          <w:rFonts w:eastAsia="仿宋_GB2312"/>
          <w:sz w:val="32"/>
          <w:szCs w:val="22"/>
        </w:rPr>
        <w:t>可依法动员和征用社会装备及物资，跨部门装备物资调用。</w:t>
      </w:r>
    </w:p>
    <w:p>
      <w:pPr>
        <w:adjustRightInd w:val="0"/>
        <w:snapToGrid w:val="0"/>
        <w:spacing w:line="560" w:lineRule="exact"/>
        <w:ind w:firstLine="643" w:firstLineChars="200"/>
        <w:rPr>
          <w:rFonts w:eastAsia="仿宋_GB2312"/>
          <w:b/>
          <w:sz w:val="32"/>
          <w:szCs w:val="22"/>
        </w:rPr>
      </w:pPr>
      <w:bookmarkStart w:id="69" w:name="_Toc18659"/>
      <w:bookmarkStart w:id="70" w:name="_Toc18742"/>
      <w:r>
        <w:rPr>
          <w:rFonts w:eastAsia="仿宋_GB2312"/>
          <w:b/>
          <w:sz w:val="32"/>
          <w:szCs w:val="22"/>
        </w:rPr>
        <w:t>6.4</w:t>
      </w:r>
      <w:r>
        <w:rPr>
          <w:rFonts w:hint="eastAsia" w:eastAsia="仿宋_GB2312"/>
          <w:b/>
          <w:sz w:val="32"/>
          <w:szCs w:val="22"/>
        </w:rPr>
        <w:t>应急资金保障</w:t>
      </w:r>
      <w:bookmarkEnd w:id="69"/>
      <w:bookmarkEnd w:id="70"/>
    </w:p>
    <w:p>
      <w:pPr>
        <w:adjustRightInd w:val="0"/>
        <w:snapToGrid w:val="0"/>
        <w:spacing w:line="560" w:lineRule="exact"/>
        <w:ind w:firstLine="640" w:firstLineChars="200"/>
        <w:rPr>
          <w:rFonts w:eastAsia="仿宋_GB2312"/>
          <w:sz w:val="32"/>
          <w:szCs w:val="22"/>
        </w:rPr>
      </w:pPr>
      <w:r>
        <w:rPr>
          <w:rFonts w:hint="eastAsia" w:eastAsia="仿宋_GB2312"/>
          <w:sz w:val="32"/>
          <w:szCs w:val="22"/>
        </w:rPr>
        <w:t>供热企业应保障集中供热风险监控、监测预警、演练培训、抢修抢险等工作的资金需求，相关集中供热事故责任单位承担应急处置费用。</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西安市雁塔区集中供热事故监测预警、预案修编、宣教培训、应急演练等应急管理经费，由区应急指挥部办公室提出计划，按照西安市相关规定审批通过后，在区政府每年财政预算中予以安排。</w:t>
      </w:r>
    </w:p>
    <w:p>
      <w:pPr>
        <w:adjustRightInd w:val="0"/>
        <w:snapToGrid w:val="0"/>
        <w:spacing w:line="560" w:lineRule="exact"/>
        <w:ind w:firstLine="643" w:firstLineChars="200"/>
        <w:rPr>
          <w:rFonts w:eastAsia="仿宋_GB2312"/>
          <w:b/>
          <w:sz w:val="32"/>
          <w:szCs w:val="22"/>
        </w:rPr>
      </w:pPr>
      <w:bookmarkStart w:id="71" w:name="_Toc17928"/>
      <w:bookmarkStart w:id="72" w:name="_Toc6022"/>
      <w:r>
        <w:rPr>
          <w:rFonts w:hint="eastAsia" w:eastAsia="仿宋_GB2312"/>
          <w:b/>
          <w:sz w:val="32"/>
          <w:szCs w:val="22"/>
        </w:rPr>
        <w:t>6.5</w:t>
      </w:r>
      <w:r>
        <w:rPr>
          <w:rFonts w:eastAsia="仿宋_GB2312"/>
          <w:b/>
          <w:sz w:val="32"/>
          <w:szCs w:val="22"/>
        </w:rPr>
        <w:t>交通运输保障</w:t>
      </w:r>
      <w:bookmarkEnd w:id="71"/>
      <w:bookmarkEnd w:id="72"/>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区交通局根据交通管控相关规定，保障疏散避险、伤员转运、物资运输等通道的开辟和畅通；公交车、出租车和地铁作为运输工具保障，由区交通局统一协调，保证人员疏散避险的运力需求。</w:t>
      </w:r>
    </w:p>
    <w:p>
      <w:pPr>
        <w:adjustRightInd w:val="0"/>
        <w:snapToGrid w:val="0"/>
        <w:spacing w:line="560" w:lineRule="exact"/>
        <w:ind w:firstLine="643" w:firstLineChars="200"/>
        <w:rPr>
          <w:rFonts w:eastAsia="仿宋_GB2312"/>
          <w:b/>
          <w:sz w:val="32"/>
          <w:szCs w:val="22"/>
        </w:rPr>
      </w:pPr>
      <w:bookmarkStart w:id="73" w:name="_Toc6205"/>
      <w:bookmarkStart w:id="74" w:name="_Toc31553"/>
      <w:bookmarkStart w:id="75" w:name="_Toc20935"/>
      <w:bookmarkStart w:id="76" w:name="_Toc7076"/>
      <w:r>
        <w:rPr>
          <w:rFonts w:hint="eastAsia" w:eastAsia="仿宋_GB2312"/>
          <w:b/>
          <w:sz w:val="32"/>
          <w:szCs w:val="22"/>
        </w:rPr>
        <w:t>6.6</w:t>
      </w:r>
      <w:r>
        <w:rPr>
          <w:rFonts w:eastAsia="仿宋_GB2312"/>
          <w:b/>
          <w:sz w:val="32"/>
          <w:szCs w:val="22"/>
        </w:rPr>
        <w:t>医疗救治保障</w:t>
      </w:r>
      <w:bookmarkEnd w:id="73"/>
      <w:bookmarkEnd w:id="74"/>
      <w:bookmarkEnd w:id="75"/>
      <w:bookmarkEnd w:id="76"/>
    </w:p>
    <w:p>
      <w:pPr>
        <w:adjustRightInd w:val="0"/>
        <w:snapToGrid w:val="0"/>
        <w:spacing w:line="560" w:lineRule="exact"/>
        <w:ind w:firstLine="640" w:firstLineChars="200"/>
        <w:rPr>
          <w:rFonts w:eastAsia="仿宋_GB2312"/>
          <w:sz w:val="32"/>
          <w:szCs w:val="22"/>
        </w:rPr>
      </w:pPr>
      <w:r>
        <w:rPr>
          <w:rFonts w:eastAsia="仿宋_GB2312"/>
          <w:sz w:val="32"/>
          <w:szCs w:val="22"/>
        </w:rPr>
        <w:t>区</w:t>
      </w:r>
      <w:r>
        <w:rPr>
          <w:rFonts w:hint="eastAsia" w:eastAsia="仿宋_GB2312"/>
          <w:sz w:val="32"/>
          <w:szCs w:val="22"/>
        </w:rPr>
        <w:t>应急指挥部</w:t>
      </w:r>
      <w:r>
        <w:rPr>
          <w:rFonts w:eastAsia="仿宋_GB2312"/>
          <w:sz w:val="32"/>
          <w:szCs w:val="22"/>
        </w:rPr>
        <w:t>办公室</w:t>
      </w:r>
      <w:r>
        <w:rPr>
          <w:rFonts w:hint="eastAsia" w:eastAsia="仿宋_GB2312"/>
          <w:sz w:val="32"/>
          <w:szCs w:val="22"/>
        </w:rPr>
        <w:t>、区卫健局</w:t>
      </w:r>
      <w:r>
        <w:rPr>
          <w:rFonts w:eastAsia="仿宋_GB2312"/>
          <w:sz w:val="32"/>
          <w:szCs w:val="22"/>
        </w:rPr>
        <w:t>根据供热事故可能对人造成的伤害特点，统计选取具有相应医治能力和实力的医疗机构，保证受伤人员得到有效地治疗，同时依托区域内急救中心急救车辆队伍，保证受伤人员的快速转运。</w:t>
      </w:r>
    </w:p>
    <w:p>
      <w:pPr>
        <w:adjustRightInd w:val="0"/>
        <w:snapToGrid w:val="0"/>
        <w:spacing w:line="560" w:lineRule="exact"/>
        <w:ind w:firstLine="643" w:firstLineChars="200"/>
        <w:rPr>
          <w:rFonts w:eastAsia="仿宋_GB2312"/>
          <w:b/>
          <w:sz w:val="32"/>
          <w:szCs w:val="22"/>
        </w:rPr>
      </w:pPr>
      <w:bookmarkStart w:id="77" w:name="_Toc8294"/>
      <w:bookmarkStart w:id="78" w:name="_Toc27915"/>
      <w:bookmarkStart w:id="79" w:name="_Toc176"/>
      <w:bookmarkStart w:id="80" w:name="_Toc31070"/>
      <w:r>
        <w:rPr>
          <w:rFonts w:eastAsia="仿宋_GB2312"/>
          <w:b/>
          <w:sz w:val="32"/>
          <w:szCs w:val="22"/>
        </w:rPr>
        <w:t>6.7</w:t>
      </w:r>
      <w:r>
        <w:rPr>
          <w:rFonts w:hint="eastAsia" w:eastAsia="仿宋_GB2312"/>
          <w:b/>
          <w:sz w:val="32"/>
          <w:szCs w:val="22"/>
        </w:rPr>
        <w:t>治安秩序保障</w:t>
      </w:r>
      <w:bookmarkEnd w:id="77"/>
      <w:bookmarkEnd w:id="78"/>
      <w:bookmarkEnd w:id="79"/>
      <w:bookmarkEnd w:id="80"/>
    </w:p>
    <w:p>
      <w:pPr>
        <w:adjustRightInd w:val="0"/>
        <w:snapToGrid w:val="0"/>
        <w:spacing w:line="560" w:lineRule="exact"/>
        <w:ind w:firstLine="640" w:firstLineChars="200"/>
        <w:rPr>
          <w:rFonts w:eastAsia="仿宋_GB2312"/>
          <w:sz w:val="32"/>
          <w:szCs w:val="22"/>
        </w:rPr>
      </w:pPr>
      <w:r>
        <w:rPr>
          <w:rFonts w:hint="eastAsia" w:eastAsia="仿宋_GB2312"/>
          <w:sz w:val="32"/>
          <w:szCs w:val="22"/>
        </w:rPr>
        <w:t>公安雁塔分局负责组织警力对集中供热事故现场开展警戒、维持治安秩序和保护现场等工作，保护防卫集中供热事故周边重点区域、重要场所及设施，保障抢险救援、疏散避险、医疗救援和事件调查的顺利开展。</w:t>
      </w:r>
    </w:p>
    <w:p>
      <w:pPr>
        <w:adjustRightInd w:val="0"/>
        <w:snapToGrid w:val="0"/>
        <w:spacing w:line="560" w:lineRule="exact"/>
        <w:ind w:firstLine="643" w:firstLineChars="200"/>
        <w:rPr>
          <w:rFonts w:eastAsia="仿宋_GB2312"/>
          <w:b/>
          <w:sz w:val="32"/>
          <w:szCs w:val="22"/>
        </w:rPr>
      </w:pPr>
      <w:bookmarkStart w:id="81" w:name="_Toc14201"/>
      <w:bookmarkStart w:id="82" w:name="_Toc23628"/>
      <w:bookmarkStart w:id="83" w:name="_Toc28845"/>
      <w:bookmarkStart w:id="84" w:name="_Toc21111"/>
      <w:r>
        <w:rPr>
          <w:rFonts w:hint="eastAsia" w:eastAsia="仿宋_GB2312"/>
          <w:b/>
          <w:sz w:val="32"/>
          <w:szCs w:val="22"/>
        </w:rPr>
        <w:t>6.8</w:t>
      </w:r>
      <w:r>
        <w:rPr>
          <w:rFonts w:eastAsia="仿宋_GB2312"/>
          <w:b/>
          <w:sz w:val="32"/>
          <w:szCs w:val="22"/>
        </w:rPr>
        <w:t>专家技术保障</w:t>
      </w:r>
      <w:bookmarkEnd w:id="81"/>
      <w:bookmarkEnd w:id="82"/>
      <w:bookmarkEnd w:id="83"/>
      <w:bookmarkEnd w:id="84"/>
    </w:p>
    <w:p>
      <w:pPr>
        <w:adjustRightInd w:val="0"/>
        <w:snapToGrid w:val="0"/>
        <w:spacing w:line="560" w:lineRule="exact"/>
        <w:ind w:firstLine="640" w:firstLineChars="200"/>
        <w:rPr>
          <w:rFonts w:eastAsia="仿宋_GB2312"/>
          <w:sz w:val="32"/>
          <w:szCs w:val="22"/>
        </w:rPr>
      </w:pPr>
      <w:r>
        <w:rPr>
          <w:rFonts w:eastAsia="仿宋_GB2312"/>
          <w:sz w:val="32"/>
          <w:szCs w:val="22"/>
        </w:rPr>
        <w:t>依托市应急专家库，建立</w:t>
      </w:r>
      <w:r>
        <w:rPr>
          <w:rFonts w:hint="eastAsia" w:eastAsia="仿宋_GB2312"/>
          <w:sz w:val="32"/>
          <w:szCs w:val="22"/>
        </w:rPr>
        <w:t>雁塔</w:t>
      </w:r>
      <w:r>
        <w:rPr>
          <w:rFonts w:eastAsia="仿宋_GB2312"/>
          <w:sz w:val="32"/>
          <w:szCs w:val="22"/>
        </w:rPr>
        <w:t>区供热事故应急专家库，充分发挥和依靠高校科研院所、供热企业的科技力量和专业优势，不断开发完善供热事故应急技术和装备，研究解决供热事故应急救援处置的技术难点，为供热事故应急救援处置提供专家和技术支持。</w:t>
      </w:r>
    </w:p>
    <w:p>
      <w:pPr>
        <w:adjustRightInd w:val="0"/>
        <w:snapToGrid w:val="0"/>
        <w:spacing w:line="560" w:lineRule="exact"/>
        <w:ind w:firstLine="640" w:firstLineChars="200"/>
        <w:rPr>
          <w:rFonts w:eastAsia="仿宋_GB2312"/>
          <w:sz w:val="32"/>
          <w:szCs w:val="22"/>
        </w:rPr>
      </w:pPr>
      <w:bookmarkStart w:id="85" w:name="_Toc5341"/>
      <w:bookmarkStart w:id="86" w:name="_Toc7441"/>
      <w:r>
        <w:rPr>
          <w:rFonts w:hint="eastAsia" w:ascii="黑体" w:hAnsi="黑体" w:eastAsia="黑体"/>
          <w:sz w:val="32"/>
          <w:szCs w:val="22"/>
        </w:rPr>
        <w:t>7预案管理</w:t>
      </w:r>
      <w:bookmarkEnd w:id="85"/>
      <w:bookmarkEnd w:id="86"/>
    </w:p>
    <w:p>
      <w:pPr>
        <w:adjustRightInd w:val="0"/>
        <w:snapToGrid w:val="0"/>
        <w:spacing w:line="560" w:lineRule="exact"/>
        <w:ind w:firstLine="643" w:firstLineChars="200"/>
        <w:rPr>
          <w:rFonts w:eastAsia="仿宋_GB2312"/>
          <w:b/>
          <w:bCs/>
          <w:sz w:val="32"/>
          <w:szCs w:val="22"/>
        </w:rPr>
      </w:pPr>
      <w:bookmarkStart w:id="87" w:name="_Toc15205"/>
      <w:bookmarkStart w:id="88" w:name="_Toc25967"/>
      <w:r>
        <w:rPr>
          <w:rFonts w:hint="eastAsia" w:eastAsia="仿宋_GB2312"/>
          <w:b/>
          <w:bCs/>
          <w:sz w:val="32"/>
          <w:szCs w:val="22"/>
        </w:rPr>
        <w:t>7.1宣教培训</w:t>
      </w:r>
      <w:bookmarkEnd w:id="87"/>
      <w:bookmarkEnd w:id="88"/>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区应急指挥部</w:t>
      </w:r>
      <w:r>
        <w:rPr>
          <w:rFonts w:eastAsia="仿宋_GB2312"/>
          <w:sz w:val="32"/>
          <w:szCs w:val="22"/>
        </w:rPr>
        <w:t>办公室负责制定本预案的宣传、教育和培训计划，</w:t>
      </w:r>
      <w:r>
        <w:rPr>
          <w:rFonts w:hint="eastAsia" w:eastAsia="仿宋_GB2312"/>
          <w:sz w:val="32"/>
          <w:szCs w:val="22"/>
        </w:rPr>
        <w:t>组织各成员单位和供热企业，开展本预案法律法规、应急职责、指挥协调、信息报送、监测预警、应急响应、抢险救援、疏散避险等方面知识技能的宣传、教育和培训，增强相关单位对于本预案的理解和实际应用操作能力。</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区应急指挥部办公室督导供热企业结合本预案，开展面向本单位（企业）工作人员和公众供热安全教育培训，广泛宣传集中供热安全知识，事件避险、自救和互救知识；并监督检查专业供热应急队伍抢险抢修技能的培训，对培训结果进行考核，做到对集中供热事故应急常备不懈。</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本预案的宣传工作可利用广播、电视、报纸、互联网、社交平台等媒体平台开展，教育和培训工作可通过预案解析、应急演练和印发资料等方式开展。</w:t>
      </w:r>
    </w:p>
    <w:p>
      <w:pPr>
        <w:adjustRightInd w:val="0"/>
        <w:snapToGrid w:val="0"/>
        <w:spacing w:line="560" w:lineRule="exact"/>
        <w:ind w:firstLine="643" w:firstLineChars="200"/>
        <w:rPr>
          <w:rFonts w:eastAsia="仿宋_GB2312"/>
          <w:b/>
          <w:bCs/>
          <w:sz w:val="32"/>
          <w:szCs w:val="22"/>
        </w:rPr>
      </w:pPr>
      <w:bookmarkStart w:id="89" w:name="_Toc1138"/>
      <w:bookmarkStart w:id="90" w:name="_Toc14903"/>
      <w:r>
        <w:rPr>
          <w:rFonts w:hint="eastAsia" w:eastAsia="仿宋_GB2312"/>
          <w:b/>
          <w:bCs/>
          <w:sz w:val="32"/>
          <w:szCs w:val="22"/>
        </w:rPr>
        <w:t>7.2应急演练</w:t>
      </w:r>
      <w:bookmarkEnd w:id="89"/>
      <w:bookmarkEnd w:id="90"/>
    </w:p>
    <w:p>
      <w:pPr>
        <w:adjustRightInd w:val="0"/>
        <w:snapToGrid w:val="0"/>
        <w:spacing w:line="560" w:lineRule="exact"/>
        <w:ind w:firstLine="640" w:firstLineChars="200"/>
        <w:rPr>
          <w:rFonts w:eastAsia="仿宋_GB2312"/>
          <w:sz w:val="32"/>
          <w:szCs w:val="22"/>
        </w:rPr>
      </w:pPr>
      <w:r>
        <w:rPr>
          <w:rFonts w:eastAsia="仿宋_GB2312"/>
          <w:sz w:val="32"/>
          <w:szCs w:val="22"/>
        </w:rPr>
        <w:t>本预案演练每年</w:t>
      </w:r>
      <w:r>
        <w:rPr>
          <w:rFonts w:hint="eastAsia" w:eastAsia="仿宋_GB2312"/>
          <w:sz w:val="32"/>
          <w:szCs w:val="22"/>
        </w:rPr>
        <w:t>至少</w:t>
      </w:r>
      <w:r>
        <w:rPr>
          <w:rFonts w:eastAsia="仿宋_GB2312"/>
          <w:sz w:val="32"/>
          <w:szCs w:val="22"/>
        </w:rPr>
        <w:t>举行1</w:t>
      </w:r>
      <w:r>
        <w:rPr>
          <w:rFonts w:hint="eastAsia" w:eastAsia="仿宋_GB2312"/>
          <w:sz w:val="32"/>
          <w:szCs w:val="22"/>
        </w:rPr>
        <w:t>次，由区应急指挥部办公室负责按照《西安市应急预案管理办法》相关规定组织制定方案和实施演练，演练方案应经过专家评审，演练结束后由区应急指挥部办公室开展评</w:t>
      </w:r>
      <w:r>
        <w:rPr>
          <w:rFonts w:eastAsia="仿宋_GB2312"/>
          <w:sz w:val="32"/>
          <w:szCs w:val="22"/>
        </w:rPr>
        <w:t>估，也可聘请、委托第三方进行评估，</w:t>
      </w:r>
      <w:r>
        <w:rPr>
          <w:rFonts w:hint="eastAsia" w:eastAsia="仿宋_GB2312"/>
          <w:sz w:val="32"/>
          <w:szCs w:val="22"/>
        </w:rPr>
        <w:t>在演练结束后30个工作日内形成演练评估报告，并将评估报告和演练资料报西安市雁塔区应急管理局备案。</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演练对周围公众正常生产和生活可能造成影响的，应在演练3日前公示告知，并通报相关部门。</w:t>
      </w:r>
    </w:p>
    <w:p>
      <w:pPr>
        <w:adjustRightInd w:val="0"/>
        <w:snapToGrid w:val="0"/>
        <w:spacing w:line="560" w:lineRule="exact"/>
        <w:ind w:firstLine="643" w:firstLineChars="200"/>
        <w:rPr>
          <w:rFonts w:eastAsia="仿宋_GB2312"/>
          <w:b/>
          <w:bCs/>
          <w:sz w:val="32"/>
          <w:szCs w:val="22"/>
        </w:rPr>
      </w:pPr>
      <w:bookmarkStart w:id="91" w:name="_Toc23060"/>
      <w:bookmarkStart w:id="92" w:name="_Toc6364"/>
      <w:bookmarkStart w:id="93" w:name="_Toc9074"/>
      <w:bookmarkStart w:id="94" w:name="_Toc31429"/>
      <w:r>
        <w:rPr>
          <w:rFonts w:hint="eastAsia" w:eastAsia="仿宋_GB2312"/>
          <w:b/>
          <w:bCs/>
          <w:sz w:val="32"/>
          <w:szCs w:val="22"/>
        </w:rPr>
        <w:t>7.3审批与备案</w:t>
      </w:r>
      <w:bookmarkEnd w:id="91"/>
      <w:bookmarkEnd w:id="92"/>
      <w:bookmarkEnd w:id="93"/>
      <w:bookmarkEnd w:id="94"/>
    </w:p>
    <w:p>
      <w:pPr>
        <w:adjustRightInd w:val="0"/>
        <w:snapToGrid w:val="0"/>
        <w:spacing w:line="560" w:lineRule="exact"/>
        <w:ind w:firstLine="640" w:firstLineChars="200"/>
        <w:rPr>
          <w:rFonts w:eastAsia="仿宋_GB2312"/>
          <w:sz w:val="32"/>
          <w:szCs w:val="22"/>
        </w:rPr>
      </w:pPr>
      <w:r>
        <w:rPr>
          <w:rFonts w:hint="eastAsia" w:eastAsia="仿宋_GB2312"/>
          <w:sz w:val="32"/>
          <w:szCs w:val="22"/>
        </w:rPr>
        <w:t>本预案应经区政府审批，必要时经区政府常务会议或专题会议审议通过后，以区政府办名义印发，依照《西安市应急预案管理办法》规定报区应急管理局备案。</w:t>
      </w:r>
    </w:p>
    <w:p>
      <w:pPr>
        <w:adjustRightInd w:val="0"/>
        <w:snapToGrid w:val="0"/>
        <w:spacing w:line="560" w:lineRule="exact"/>
        <w:ind w:firstLine="643" w:firstLineChars="200"/>
        <w:rPr>
          <w:rFonts w:eastAsia="仿宋_GB2312"/>
          <w:b/>
          <w:bCs/>
          <w:sz w:val="32"/>
          <w:szCs w:val="22"/>
        </w:rPr>
      </w:pPr>
      <w:bookmarkStart w:id="95" w:name="_Toc10914"/>
      <w:bookmarkStart w:id="96" w:name="_Toc16350"/>
      <w:r>
        <w:rPr>
          <w:rFonts w:hint="eastAsia" w:eastAsia="仿宋_GB2312"/>
          <w:b/>
          <w:bCs/>
          <w:sz w:val="32"/>
          <w:szCs w:val="22"/>
        </w:rPr>
        <w:t>7.4预案修订</w:t>
      </w:r>
      <w:bookmarkEnd w:id="95"/>
      <w:bookmarkEnd w:id="96"/>
    </w:p>
    <w:p>
      <w:pPr>
        <w:adjustRightInd w:val="0"/>
        <w:snapToGrid w:val="0"/>
        <w:spacing w:line="560" w:lineRule="exact"/>
        <w:ind w:firstLine="640" w:firstLineChars="200"/>
        <w:rPr>
          <w:rFonts w:eastAsia="仿宋_GB2312"/>
          <w:sz w:val="32"/>
          <w:szCs w:val="22"/>
        </w:rPr>
      </w:pPr>
      <w:r>
        <w:rPr>
          <w:rFonts w:hint="eastAsia" w:eastAsia="仿宋_GB2312"/>
          <w:sz w:val="32"/>
          <w:szCs w:val="22"/>
        </w:rPr>
        <w:t>本预案的更新期限一般为 3 年。有下列情形之一的，应及时修订应急预案：</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（1）有关法律、法规、规章、标准、上位预案中的有关规定发生变化的；</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（2）应急指挥机构及其职责发生重大调整的；</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（3）面临的风险发生重大变化的；</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（4）重要应急资源发生重大变化的；</w:t>
      </w:r>
    </w:p>
    <w:p>
      <w:pPr>
        <w:adjustRightInd w:val="0"/>
        <w:snapToGrid w:val="0"/>
        <w:spacing w:line="560" w:lineRule="exact"/>
        <w:ind w:firstLine="640" w:firstLineChars="200"/>
        <w:rPr>
          <w:rFonts w:eastAsia="仿宋_GB2312"/>
          <w:sz w:val="32"/>
          <w:szCs w:val="22"/>
        </w:rPr>
      </w:pPr>
      <w:r>
        <w:rPr>
          <w:rFonts w:hint="eastAsia" w:eastAsia="仿宋_GB2312"/>
          <w:sz w:val="32"/>
          <w:szCs w:val="22"/>
        </w:rPr>
        <w:t>（5）预案中其他重要信息发生变化的；</w:t>
      </w:r>
    </w:p>
    <w:p>
      <w:pPr>
        <w:adjustRightInd w:val="0"/>
        <w:snapToGrid w:val="0"/>
        <w:spacing w:line="540" w:lineRule="exact"/>
        <w:ind w:firstLine="640" w:firstLineChars="200"/>
        <w:rPr>
          <w:rFonts w:eastAsia="仿宋_GB2312"/>
          <w:sz w:val="32"/>
          <w:szCs w:val="22"/>
        </w:rPr>
      </w:pPr>
      <w:r>
        <w:rPr>
          <w:rFonts w:hint="eastAsia" w:eastAsia="仿宋_GB2312"/>
          <w:sz w:val="32"/>
          <w:szCs w:val="22"/>
        </w:rPr>
        <w:t>（6）在集中供热事故实际应对和应急演练中发现问题需要作出重大调整的；</w:t>
      </w:r>
    </w:p>
    <w:p>
      <w:pPr>
        <w:adjustRightInd w:val="0"/>
        <w:snapToGrid w:val="0"/>
        <w:spacing w:line="540" w:lineRule="exact"/>
        <w:ind w:firstLine="640" w:firstLineChars="200"/>
        <w:rPr>
          <w:rFonts w:eastAsia="仿宋_GB2312"/>
          <w:sz w:val="32"/>
          <w:szCs w:val="22"/>
        </w:rPr>
      </w:pPr>
      <w:r>
        <w:rPr>
          <w:rFonts w:hint="eastAsia" w:eastAsia="仿宋_GB2312"/>
          <w:sz w:val="32"/>
          <w:szCs w:val="22"/>
        </w:rPr>
        <w:t>（7）应急预案制定单位认为应当修订的其他情况。</w:t>
      </w:r>
    </w:p>
    <w:p>
      <w:pPr>
        <w:adjustRightInd w:val="0"/>
        <w:snapToGrid w:val="0"/>
        <w:spacing w:line="560" w:lineRule="exact"/>
        <w:ind w:firstLine="640" w:firstLineChars="200"/>
        <w:rPr>
          <w:rFonts w:ascii="黑体" w:hAnsi="黑体" w:eastAsia="黑体"/>
          <w:b/>
          <w:bCs/>
          <w:sz w:val="32"/>
          <w:szCs w:val="22"/>
        </w:rPr>
      </w:pPr>
      <w:bookmarkStart w:id="97" w:name="_Toc8398"/>
      <w:bookmarkStart w:id="98" w:name="_Toc12968"/>
      <w:bookmarkStart w:id="99" w:name="_Toc31679"/>
      <w:bookmarkStart w:id="100" w:name="_Toc1710"/>
      <w:r>
        <w:rPr>
          <w:rFonts w:hint="eastAsia" w:ascii="黑体" w:hAnsi="黑体" w:eastAsia="黑体"/>
          <w:sz w:val="32"/>
          <w:szCs w:val="22"/>
        </w:rPr>
        <w:t>8奖励与责任追究</w:t>
      </w:r>
      <w:bookmarkEnd w:id="97"/>
      <w:bookmarkEnd w:id="98"/>
      <w:bookmarkEnd w:id="99"/>
      <w:bookmarkEnd w:id="100"/>
    </w:p>
    <w:p>
      <w:pPr>
        <w:adjustRightInd w:val="0"/>
        <w:snapToGrid w:val="0"/>
        <w:spacing w:line="540" w:lineRule="exact"/>
        <w:ind w:firstLine="640" w:firstLineChars="200"/>
        <w:rPr>
          <w:rFonts w:eastAsia="仿宋_GB2312"/>
          <w:sz w:val="32"/>
          <w:szCs w:val="22"/>
        </w:rPr>
      </w:pPr>
      <w:r>
        <w:rPr>
          <w:rFonts w:hint="eastAsia" w:eastAsia="仿宋_GB2312"/>
          <w:sz w:val="32"/>
          <w:szCs w:val="22"/>
        </w:rPr>
        <w:t>区应急指挥部负责考核集中供热事故预警和应急响应的工作，对集中供热事故信息上报和先期处置及时，采取和落实各项措施得当，有效降低或避免事件损失，表现成绩突出的单位和个人，依照相关规定给予表扬或奖励。</w:t>
      </w:r>
    </w:p>
    <w:p>
      <w:pPr>
        <w:adjustRightInd w:val="0"/>
        <w:snapToGrid w:val="0"/>
        <w:spacing w:line="540" w:lineRule="exact"/>
        <w:ind w:firstLine="640" w:firstLineChars="200"/>
        <w:rPr>
          <w:rFonts w:eastAsia="仿宋_GB2312"/>
          <w:sz w:val="32"/>
          <w:szCs w:val="22"/>
        </w:rPr>
      </w:pPr>
      <w:r>
        <w:rPr>
          <w:rFonts w:hint="eastAsia" w:eastAsia="仿宋_GB2312"/>
          <w:sz w:val="32"/>
          <w:szCs w:val="22"/>
        </w:rPr>
        <w:t>对未完成应急处置任务、未按要求落实预警措施，或未按规定履行相关职责，行动不力、处置不当、贻误时机导致集中供热事故发生或危害扩大的，或出现不服从统一指挥，迟报、谎报、瞒报、漏报集中供热事故信息，或玩忽职守、失职、渎职等行为，或截留、挤占、挪用应急资金等情况的，依据相关法律法规，追究相关人员责任；涉嫌违法犯罪的，依法移交司法机关追究刑事责任。</w:t>
      </w:r>
    </w:p>
    <w:p>
      <w:pPr>
        <w:adjustRightInd w:val="0"/>
        <w:snapToGrid w:val="0"/>
        <w:spacing w:line="560" w:lineRule="exact"/>
        <w:ind w:firstLine="640" w:firstLineChars="200"/>
        <w:rPr>
          <w:rFonts w:ascii="黑体" w:hAnsi="黑体" w:eastAsia="黑体"/>
          <w:sz w:val="32"/>
          <w:szCs w:val="22"/>
        </w:rPr>
      </w:pPr>
      <w:bookmarkStart w:id="101" w:name="_Toc12463"/>
      <w:bookmarkStart w:id="102" w:name="_Toc6237"/>
      <w:bookmarkStart w:id="103" w:name="_Toc23232"/>
      <w:bookmarkStart w:id="104" w:name="_Toc15226"/>
      <w:r>
        <w:rPr>
          <w:rFonts w:hint="eastAsia" w:ascii="黑体" w:hAnsi="黑体" w:eastAsia="黑体"/>
          <w:sz w:val="32"/>
          <w:szCs w:val="22"/>
        </w:rPr>
        <w:t>9附则</w:t>
      </w:r>
      <w:bookmarkEnd w:id="101"/>
      <w:bookmarkEnd w:id="102"/>
      <w:bookmarkEnd w:id="103"/>
      <w:bookmarkEnd w:id="104"/>
    </w:p>
    <w:p>
      <w:pPr>
        <w:adjustRightInd w:val="0"/>
        <w:snapToGrid w:val="0"/>
        <w:spacing w:line="540" w:lineRule="exact"/>
        <w:ind w:firstLine="643" w:firstLineChars="200"/>
        <w:rPr>
          <w:rFonts w:eastAsia="仿宋_GB2312"/>
          <w:b/>
          <w:bCs/>
          <w:sz w:val="32"/>
          <w:szCs w:val="22"/>
        </w:rPr>
      </w:pPr>
      <w:bookmarkStart w:id="105" w:name="_Toc10592"/>
      <w:bookmarkStart w:id="106" w:name="_Toc28004"/>
      <w:bookmarkStart w:id="107" w:name="_Toc32585"/>
      <w:bookmarkStart w:id="108" w:name="_Toc13532"/>
      <w:r>
        <w:rPr>
          <w:rFonts w:hint="eastAsia" w:eastAsia="仿宋_GB2312"/>
          <w:b/>
          <w:bCs/>
          <w:sz w:val="32"/>
          <w:szCs w:val="22"/>
        </w:rPr>
        <w:t>9.1说明</w:t>
      </w:r>
      <w:bookmarkEnd w:id="105"/>
      <w:bookmarkEnd w:id="106"/>
      <w:bookmarkEnd w:id="107"/>
      <w:bookmarkEnd w:id="108"/>
    </w:p>
    <w:p>
      <w:pPr>
        <w:adjustRightInd w:val="0"/>
        <w:snapToGrid w:val="0"/>
        <w:spacing w:line="540" w:lineRule="exact"/>
        <w:ind w:firstLine="640" w:firstLineChars="200"/>
        <w:rPr>
          <w:rFonts w:eastAsia="仿宋_GB2312"/>
          <w:sz w:val="32"/>
          <w:szCs w:val="22"/>
        </w:rPr>
      </w:pPr>
      <w:r>
        <w:rPr>
          <w:rFonts w:eastAsia="仿宋_GB2312"/>
          <w:sz w:val="32"/>
          <w:szCs w:val="22"/>
        </w:rPr>
        <w:t>本预案有关等级的表述中</w:t>
      </w:r>
      <w:r>
        <w:rPr>
          <w:rFonts w:hint="eastAsia" w:eastAsia="仿宋_GB2312"/>
          <w:sz w:val="32"/>
          <w:szCs w:val="22"/>
        </w:rPr>
        <w:t>“以上”</w:t>
      </w:r>
      <w:r>
        <w:rPr>
          <w:rFonts w:eastAsia="仿宋_GB2312"/>
          <w:sz w:val="32"/>
          <w:szCs w:val="22"/>
        </w:rPr>
        <w:t>含本级，</w:t>
      </w:r>
      <w:r>
        <w:rPr>
          <w:rFonts w:hint="eastAsia" w:eastAsia="仿宋_GB2312"/>
          <w:sz w:val="32"/>
          <w:szCs w:val="22"/>
        </w:rPr>
        <w:t>“以下”</w:t>
      </w:r>
      <w:r>
        <w:rPr>
          <w:rFonts w:eastAsia="仿宋_GB2312"/>
          <w:sz w:val="32"/>
          <w:szCs w:val="22"/>
        </w:rPr>
        <w:t>不含本</w:t>
      </w:r>
      <w:r>
        <w:rPr>
          <w:rFonts w:hint="eastAsia" w:eastAsia="仿宋_GB2312"/>
          <w:sz w:val="32"/>
          <w:szCs w:val="22"/>
        </w:rPr>
        <w:t>级。</w:t>
      </w:r>
    </w:p>
    <w:p>
      <w:pPr>
        <w:adjustRightInd w:val="0"/>
        <w:snapToGrid w:val="0"/>
        <w:spacing w:line="540" w:lineRule="exact"/>
        <w:ind w:firstLine="643" w:firstLineChars="200"/>
        <w:rPr>
          <w:rFonts w:eastAsia="仿宋_GB2312"/>
          <w:sz w:val="32"/>
          <w:szCs w:val="22"/>
        </w:rPr>
      </w:pPr>
      <w:bookmarkStart w:id="109" w:name="_Toc5592"/>
      <w:bookmarkStart w:id="110" w:name="_Toc25672"/>
      <w:bookmarkStart w:id="111" w:name="_Toc4737"/>
      <w:bookmarkStart w:id="112" w:name="_Toc3829"/>
      <w:r>
        <w:rPr>
          <w:rFonts w:hint="eastAsia" w:eastAsia="仿宋_GB2312"/>
          <w:b/>
          <w:bCs/>
          <w:sz w:val="32"/>
          <w:szCs w:val="22"/>
        </w:rPr>
        <w:t>9.2预案解释</w:t>
      </w:r>
      <w:bookmarkEnd w:id="109"/>
      <w:bookmarkEnd w:id="110"/>
      <w:bookmarkEnd w:id="111"/>
      <w:bookmarkEnd w:id="112"/>
    </w:p>
    <w:p>
      <w:pPr>
        <w:adjustRightInd w:val="0"/>
        <w:snapToGrid w:val="0"/>
        <w:spacing w:line="540" w:lineRule="exact"/>
        <w:ind w:firstLine="640" w:firstLineChars="200"/>
        <w:rPr>
          <w:rFonts w:eastAsia="仿宋_GB2312"/>
          <w:sz w:val="32"/>
          <w:szCs w:val="22"/>
        </w:rPr>
      </w:pPr>
      <w:r>
        <w:rPr>
          <w:rFonts w:hint="eastAsia" w:eastAsia="仿宋_GB2312"/>
          <w:sz w:val="32"/>
          <w:szCs w:val="22"/>
        </w:rPr>
        <w:t>本预案由区城管局解释。</w:t>
      </w:r>
    </w:p>
    <w:p>
      <w:pPr>
        <w:adjustRightInd w:val="0"/>
        <w:snapToGrid w:val="0"/>
        <w:spacing w:line="540" w:lineRule="exact"/>
        <w:ind w:firstLine="643" w:firstLineChars="200"/>
        <w:rPr>
          <w:rFonts w:eastAsia="仿宋_GB2312"/>
          <w:b/>
          <w:bCs/>
          <w:sz w:val="32"/>
          <w:szCs w:val="22"/>
        </w:rPr>
      </w:pPr>
      <w:bookmarkStart w:id="113" w:name="_Toc17504"/>
      <w:bookmarkStart w:id="114" w:name="_Toc21129"/>
      <w:bookmarkStart w:id="115" w:name="_Toc20558"/>
      <w:bookmarkStart w:id="116" w:name="_Toc1694"/>
      <w:r>
        <w:rPr>
          <w:rFonts w:hint="eastAsia" w:eastAsia="仿宋_GB2312"/>
          <w:b/>
          <w:bCs/>
          <w:sz w:val="32"/>
          <w:szCs w:val="22"/>
        </w:rPr>
        <w:t>9.3预案发布</w:t>
      </w:r>
      <w:bookmarkEnd w:id="113"/>
      <w:bookmarkEnd w:id="114"/>
      <w:bookmarkEnd w:id="115"/>
      <w:bookmarkEnd w:id="116"/>
    </w:p>
    <w:p>
      <w:pPr>
        <w:adjustRightInd w:val="0"/>
        <w:snapToGrid w:val="0"/>
        <w:spacing w:line="560" w:lineRule="exact"/>
        <w:ind w:firstLine="640" w:firstLineChars="200"/>
        <w:rPr>
          <w:rFonts w:eastAsia="仿宋_GB2312"/>
          <w:sz w:val="32"/>
          <w:szCs w:val="22"/>
        </w:rPr>
      </w:pPr>
      <w:r>
        <w:rPr>
          <w:rFonts w:hint="eastAsia" w:eastAsia="仿宋_GB2312"/>
          <w:sz w:val="32"/>
          <w:szCs w:val="22"/>
        </w:rPr>
        <w:t>本预案自发布之日起实施。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833376"/>
      <w:docPartObj>
        <w:docPartGallery w:val="AutoText"/>
      </w:docPartObj>
    </w:sdtPr>
    <w:sdtContent>
      <w:p>
        <w:pPr>
          <w:pStyle w:val="10"/>
          <w:ind w:right="360"/>
          <w:jc w:val="right"/>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sdtContent>
  </w:sdt>
  <w:p>
    <w:pPr>
      <w:pStyle w:val="10"/>
      <w:tabs>
        <w:tab w:val="left" w:pos="263"/>
      </w:tabs>
      <w:wordWrap w:val="0"/>
      <w:ind w:right="360" w:firstLine="360"/>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833370"/>
      <w:docPartObj>
        <w:docPartGallery w:val="AutoText"/>
      </w:docPartObj>
    </w:sdtPr>
    <w:sdtEndPr>
      <w:rPr>
        <w:rFonts w:ascii="宋体" w:hAnsi="宋体"/>
        <w:sz w:val="28"/>
        <w:szCs w:val="28"/>
      </w:rPr>
    </w:sdtEndPr>
    <w:sdtContent>
      <w:p>
        <w:pPr>
          <w:pStyle w:val="10"/>
          <w:ind w:right="360"/>
          <w:jc w:val="right"/>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23</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sdtContent>
  </w:sdt>
  <w:p>
    <w:pPr>
      <w:pStyle w:val="10"/>
      <w:tabs>
        <w:tab w:val="center" w:pos="4366"/>
        <w:tab w:val="clear" w:pos="4153"/>
      </w:tabs>
      <w:jc w:val="both"/>
      <w:rPr>
        <w:rStyle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FE865"/>
    <w:multiLevelType w:val="multilevel"/>
    <w:tmpl w:val="FCDFE865"/>
    <w:lvl w:ilvl="0" w:tentative="0">
      <w:start w:val="1"/>
      <w:numFmt w:val="decimal"/>
      <w:pStyle w:val="3"/>
      <w:suff w:val="nothing"/>
      <w:lvlText w:val="%1  "/>
      <w:lvlJc w:val="left"/>
      <w:pPr>
        <w:tabs>
          <w:tab w:val="left" w:pos="0"/>
        </w:tabs>
        <w:ind w:left="0" w:firstLine="0"/>
      </w:pPr>
      <w:rPr>
        <w:rFonts w:hint="default" w:ascii="黑体" w:hAnsi="黑体" w:eastAsia="宋体" w:cs="宋体"/>
        <w:b w:val="0"/>
        <w:sz w:val="32"/>
      </w:rPr>
    </w:lvl>
    <w:lvl w:ilvl="1" w:tentative="0">
      <w:start w:val="1"/>
      <w:numFmt w:val="decimal"/>
      <w:suff w:val="nothing"/>
      <w:lvlText w:val="%1.%2  "/>
      <w:lvlJc w:val="left"/>
      <w:pPr>
        <w:tabs>
          <w:tab w:val="left" w:pos="0"/>
        </w:tabs>
        <w:ind w:left="-289" w:firstLine="0"/>
      </w:pPr>
      <w:rPr>
        <w:rFonts w:hint="default" w:ascii="Times New Roman" w:hAnsi="Times New Roman" w:eastAsia="宋体" w:cs="宋体"/>
        <w:sz w:val="32"/>
        <w:szCs w:val="32"/>
      </w:rPr>
    </w:lvl>
    <w:lvl w:ilvl="2" w:tentative="0">
      <w:start w:val="1"/>
      <w:numFmt w:val="decimal"/>
      <w:suff w:val="nothing"/>
      <w:lvlText w:val="%1.%2.%3  "/>
      <w:lvlJc w:val="left"/>
      <w:pPr>
        <w:tabs>
          <w:tab w:val="left" w:pos="0"/>
        </w:tabs>
        <w:ind w:left="0" w:firstLine="0"/>
      </w:pPr>
      <w:rPr>
        <w:rFonts w:hint="default" w:ascii="Times New Roman" w:hAnsi="Times New Roman" w:eastAsia="宋体" w:cs="宋体"/>
        <w:sz w:val="32"/>
      </w:rPr>
    </w:lvl>
    <w:lvl w:ilvl="3" w:tentative="0">
      <w:start w:val="1"/>
      <w:numFmt w:val="decimal"/>
      <w:suff w:val="nothing"/>
      <w:lvlText w:val="%1.%2.%3.%4  "/>
      <w:lvlJc w:val="left"/>
      <w:pPr>
        <w:tabs>
          <w:tab w:val="left" w:pos="0"/>
        </w:tabs>
        <w:ind w:left="0" w:firstLine="0"/>
      </w:pPr>
      <w:rPr>
        <w:rFonts w:hint="default" w:ascii="Times New Roman" w:hAnsi="Times New Roman" w:eastAsia="宋体" w:cs="宋体"/>
        <w:sz w:val="32"/>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U3ZTM3M2UwMzM0MWI2MTI1MTU5ZWUwOTA0Yjc5NjAifQ=="/>
  </w:docVars>
  <w:rsids>
    <w:rsidRoot w:val="6643297A"/>
    <w:rsid w:val="000C6C2D"/>
    <w:rsid w:val="000E549B"/>
    <w:rsid w:val="003E05D1"/>
    <w:rsid w:val="004016FC"/>
    <w:rsid w:val="004F1145"/>
    <w:rsid w:val="0058153D"/>
    <w:rsid w:val="005A34E6"/>
    <w:rsid w:val="006551D0"/>
    <w:rsid w:val="0074092B"/>
    <w:rsid w:val="007C5AC8"/>
    <w:rsid w:val="00864AFE"/>
    <w:rsid w:val="00866AB9"/>
    <w:rsid w:val="00930903"/>
    <w:rsid w:val="009455F5"/>
    <w:rsid w:val="00A42A5D"/>
    <w:rsid w:val="00AD0B80"/>
    <w:rsid w:val="00C54FD7"/>
    <w:rsid w:val="00E460AE"/>
    <w:rsid w:val="00EF7D42"/>
    <w:rsid w:val="00F1669E"/>
    <w:rsid w:val="00F71B4E"/>
    <w:rsid w:val="00FF53A9"/>
    <w:rsid w:val="34CC203C"/>
    <w:rsid w:val="664329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rFonts w:ascii="黑体" w:hAnsi="黑体" w:eastAsia="黑体" w:cs="黑体"/>
      <w:kern w:val="44"/>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仿宋_GB2312" w:hAnsi="仿宋_GB2312" w:eastAsia="仿宋_GB2312" w:cs="仿宋_GB2312"/>
      <w:sz w:val="32"/>
      <w:szCs w:val="32"/>
      <w:lang w:val="zh-CN" w:bidi="zh-CN"/>
    </w:rPr>
  </w:style>
  <w:style w:type="paragraph" w:styleId="4">
    <w:name w:val="Normal Indent"/>
    <w:basedOn w:val="1"/>
    <w:qFormat/>
    <w:uiPriority w:val="0"/>
    <w:pPr>
      <w:ind w:firstLine="420"/>
    </w:pPr>
  </w:style>
  <w:style w:type="paragraph" w:styleId="5">
    <w:name w:val="Body Text Indent"/>
    <w:basedOn w:val="1"/>
    <w:next w:val="6"/>
    <w:qFormat/>
    <w:uiPriority w:val="0"/>
    <w:pPr>
      <w:ind w:firstLine="630"/>
    </w:pPr>
    <w:rPr>
      <w:rFonts w:eastAsia="仿宋_GB2312"/>
      <w:sz w:val="32"/>
      <w:szCs w:val="32"/>
    </w:rPr>
  </w:style>
  <w:style w:type="paragraph" w:styleId="6">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style>
  <w:style w:type="paragraph" w:customStyle="1" w:styleId="7">
    <w:name w:val="样式5"/>
    <w:qFormat/>
    <w:uiPriority w:val="0"/>
    <w:rPr>
      <w:rFonts w:ascii="黑体" w:hAnsi="Times New Roman" w:eastAsia="宋体" w:cs="Times New Roman"/>
      <w:lang w:val="en-US" w:eastAsia="zh-CN" w:bidi="ar-SA"/>
    </w:rPr>
  </w:style>
  <w:style w:type="paragraph" w:styleId="8">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9">
    <w:name w:val="Balloon Text"/>
    <w:basedOn w:val="1"/>
    <w:link w:val="20"/>
    <w:qFormat/>
    <w:uiPriority w:val="0"/>
    <w:rPr>
      <w:sz w:val="18"/>
      <w:szCs w:val="18"/>
    </w:rPr>
  </w:style>
  <w:style w:type="paragraph" w:styleId="10">
    <w:name w:val="footer"/>
    <w:basedOn w:val="1"/>
    <w:next w:val="1"/>
    <w:link w:val="21"/>
    <w:qFormat/>
    <w:uiPriority w:val="99"/>
    <w:pPr>
      <w:tabs>
        <w:tab w:val="center" w:pos="4153"/>
        <w:tab w:val="right" w:pos="8306"/>
      </w:tabs>
      <w:snapToGrid w:val="0"/>
      <w:jc w:val="left"/>
    </w:pPr>
    <w:rPr>
      <w:sz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Body Text First Indent 2"/>
    <w:basedOn w:val="5"/>
    <w:next w:val="1"/>
    <w:qFormat/>
    <w:uiPriority w:val="99"/>
    <w:pPr>
      <w:ind w:firstLine="420" w:firstLineChars="200"/>
    </w:pPr>
  </w:style>
  <w:style w:type="character" w:styleId="16">
    <w:name w:val="page number"/>
    <w:basedOn w:val="15"/>
    <w:qFormat/>
    <w:uiPriority w:val="0"/>
    <w:rPr>
      <w:rFonts w:ascii="Times New Roman" w:hAnsi="Times New Roman" w:eastAsia="宋体"/>
      <w:sz w:val="28"/>
    </w:rPr>
  </w:style>
  <w:style w:type="character" w:styleId="17">
    <w:name w:val="Hyperlink"/>
    <w:basedOn w:val="15"/>
    <w:unhideWhenUsed/>
    <w:qFormat/>
    <w:uiPriority w:val="99"/>
    <w:rPr>
      <w:color w:val="0563C1" w:themeColor="hyperlink"/>
      <w:u w:val="single"/>
    </w:rPr>
  </w:style>
  <w:style w:type="paragraph" w:customStyle="1" w:styleId="18">
    <w:name w:val="封面标题"/>
    <w:basedOn w:val="1"/>
    <w:qFormat/>
    <w:uiPriority w:val="0"/>
    <w:pPr>
      <w:snapToGrid w:val="0"/>
      <w:jc w:val="center"/>
    </w:pPr>
    <w:rPr>
      <w:rFonts w:eastAsia="方正小标宋简体"/>
      <w:b/>
      <w:sz w:val="52"/>
    </w:rPr>
  </w:style>
  <w:style w:type="paragraph" w:customStyle="1" w:styleId="19">
    <w:name w:val="正文大标题"/>
    <w:basedOn w:val="1"/>
    <w:qFormat/>
    <w:uiPriority w:val="0"/>
    <w:pPr>
      <w:snapToGrid w:val="0"/>
      <w:jc w:val="center"/>
    </w:pPr>
    <w:rPr>
      <w:rFonts w:eastAsia="方正小标宋简体"/>
      <w:sz w:val="36"/>
    </w:rPr>
  </w:style>
  <w:style w:type="character" w:customStyle="1" w:styleId="20">
    <w:name w:val="批注框文本 Char"/>
    <w:basedOn w:val="15"/>
    <w:link w:val="9"/>
    <w:qFormat/>
    <w:uiPriority w:val="0"/>
    <w:rPr>
      <w:rFonts w:ascii="Times New Roman" w:hAnsi="Times New Roman" w:eastAsia="宋体" w:cs="Times New Roman"/>
      <w:kern w:val="2"/>
      <w:sz w:val="18"/>
      <w:szCs w:val="18"/>
    </w:rPr>
  </w:style>
  <w:style w:type="character" w:customStyle="1" w:styleId="21">
    <w:name w:val="页脚 Char"/>
    <w:basedOn w:val="15"/>
    <w:link w:val="10"/>
    <w:qFormat/>
    <w:uiPriority w:val="99"/>
    <w:rPr>
      <w:rFonts w:ascii="Times New Roman" w:hAnsi="Times New Roman" w:eastAsia="宋体" w:cs="Times New Roman"/>
      <w:kern w:val="2"/>
      <w:sz w:val="18"/>
    </w:rPr>
  </w:style>
  <w:style w:type="paragraph" w:customStyle="1" w:styleId="22">
    <w:name w:val="TOC Heading"/>
    <w:basedOn w:val="3"/>
    <w:next w:val="1"/>
    <w:semiHidden/>
    <w:unhideWhenUsed/>
    <w:qFormat/>
    <w:uiPriority w:val="39"/>
    <w:pPr>
      <w:keepLines/>
      <w:widowControl/>
      <w:numPr>
        <w:numId w:val="0"/>
      </w:numPr>
      <w:tabs>
        <w:tab w:val="clear" w:pos="0"/>
      </w:tabs>
      <w:spacing w:before="480" w:line="276" w:lineRule="auto"/>
      <w:jc w:val="left"/>
      <w:outlineLvl w:val="9"/>
    </w:pPr>
    <w:rPr>
      <w:rFonts w:asciiTheme="majorHAnsi" w:hAnsiTheme="majorHAnsi" w:eastAsiaTheme="majorEastAsia" w:cstheme="majorBidi"/>
      <w:b/>
      <w:bCs/>
      <w:color w:val="2E75B5"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18E71-D8E9-47D0-9BBC-EB36352F02B9}">
  <ds:schemaRefs/>
</ds:datastoreItem>
</file>

<file path=docProps/app.xml><?xml version="1.0" encoding="utf-8"?>
<Properties xmlns="http://schemas.openxmlformats.org/officeDocument/2006/extended-properties" xmlns:vt="http://schemas.openxmlformats.org/officeDocument/2006/docPropsVTypes">
  <Template>Normal</Template>
  <Pages>32</Pages>
  <Words>13250</Words>
  <Characters>16738</Characters>
  <Lines>130</Lines>
  <Paragraphs>36</Paragraphs>
  <TotalTime>18</TotalTime>
  <ScaleCrop>false</ScaleCrop>
  <LinksUpToDate>false</LinksUpToDate>
  <CharactersWithSpaces>16791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2022-10-15T06:25:00Z</dcterms:created>
  <dc:creator>Administrator</dc:creator>
  <cp:lastModifiedBy>Dreamcatcher</cp:lastModifiedBy>
  <cp:lastPrinted>2022-10-15T06:36:00Z</cp:lastPrinted>
  <dcterms:modified xsi:type="dcterms:W3CDTF">2023-03-08T06:45:44Z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E2ED17DA04B644628EC8C852AB3CC262</vt:lpwstr>
  </property>
</Properties>
</file>