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F7" w:rsidRDefault="00D515F7" w:rsidP="00D515F7">
      <w:pPr>
        <w:ind w:firstLineChars="0" w:firstLine="0"/>
        <w:rPr>
          <w:rFonts w:ascii="仿宋_GB2312" w:eastAsia="仿宋_GB2312" w:hAnsi="楷体"/>
          <w:kern w:val="0"/>
          <w:sz w:val="32"/>
          <w:szCs w:val="32"/>
        </w:rPr>
      </w:pPr>
      <w:bookmarkStart w:id="0" w:name="_Toc466988404"/>
      <w:bookmarkStart w:id="1" w:name="_Toc15454"/>
      <w:bookmarkStart w:id="2" w:name="_Toc30264"/>
      <w:bookmarkStart w:id="3" w:name="_Toc2149"/>
      <w:bookmarkStart w:id="4" w:name="_Toc13748"/>
      <w:bookmarkStart w:id="5" w:name="_Toc32162"/>
      <w:r>
        <w:rPr>
          <w:rFonts w:ascii="仿宋_GB2312" w:eastAsia="仿宋_GB2312" w:hAnsi="楷体" w:hint="eastAsia"/>
          <w:kern w:val="0"/>
          <w:sz w:val="32"/>
          <w:szCs w:val="32"/>
        </w:rPr>
        <w:t>附表2  西安市雁塔区地质灾害易发程度分区表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9"/>
        <w:gridCol w:w="1534"/>
        <w:gridCol w:w="1036"/>
        <w:gridCol w:w="716"/>
        <w:gridCol w:w="874"/>
        <w:gridCol w:w="942"/>
        <w:gridCol w:w="1129"/>
        <w:gridCol w:w="7115"/>
      </w:tblGrid>
      <w:tr w:rsidR="00D515F7" w:rsidTr="00480CB6">
        <w:trPr>
          <w:trHeight w:val="285"/>
          <w:jc w:val="center"/>
        </w:trPr>
        <w:tc>
          <w:tcPr>
            <w:tcW w:w="799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易发程度分区</w:t>
            </w:r>
          </w:p>
        </w:tc>
        <w:tc>
          <w:tcPr>
            <w:tcW w:w="153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亚区名</w:t>
            </w:r>
          </w:p>
        </w:tc>
        <w:tc>
          <w:tcPr>
            <w:tcW w:w="1752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灾害点</w:t>
            </w:r>
          </w:p>
        </w:tc>
        <w:tc>
          <w:tcPr>
            <w:tcW w:w="874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面积</w:t>
            </w:r>
            <w:r>
              <w:rPr>
                <w:rStyle w:val="font61"/>
                <w:rFonts w:eastAsia="仿宋_GB2312"/>
                <w:b/>
                <w:bCs/>
                <w:sz w:val="21"/>
                <w:lang/>
              </w:rPr>
              <w:t>（</w:t>
            </w:r>
            <w:r>
              <w:rPr>
                <w:rStyle w:val="font61"/>
                <w:rFonts w:eastAsia="仿宋_GB2312"/>
                <w:b/>
                <w:bCs/>
                <w:sz w:val="21"/>
                <w:lang/>
              </w:rPr>
              <w:t>km</w:t>
            </w:r>
            <w:r>
              <w:rPr>
                <w:rStyle w:val="font31"/>
                <w:rFonts w:eastAsia="仿宋_GB2312"/>
                <w:b/>
                <w:bCs/>
                <w:sz w:val="21"/>
                <w:lang/>
              </w:rPr>
              <w:t>2</w:t>
            </w:r>
            <w:r>
              <w:rPr>
                <w:rStyle w:val="font61"/>
                <w:rFonts w:eastAsia="仿宋_GB2312"/>
                <w:b/>
                <w:bCs/>
                <w:sz w:val="21"/>
                <w:lang/>
              </w:rPr>
              <w:t>）</w:t>
            </w:r>
          </w:p>
        </w:tc>
        <w:tc>
          <w:tcPr>
            <w:tcW w:w="942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占全区总面积（</w:t>
            </w:r>
            <w:r>
              <w:rPr>
                <w:rStyle w:val="font71"/>
                <w:rFonts w:eastAsia="仿宋_GB2312" w:hint="default"/>
                <w:b/>
                <w:bCs/>
                <w:sz w:val="21"/>
                <w:lang/>
              </w:rPr>
              <w:t>%</w:t>
            </w: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）</w:t>
            </w:r>
          </w:p>
        </w:tc>
        <w:tc>
          <w:tcPr>
            <w:tcW w:w="1129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灾害点密度</w:t>
            </w:r>
          </w:p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（处</w:t>
            </w:r>
            <w:r>
              <w:rPr>
                <w:rStyle w:val="font71"/>
                <w:rFonts w:eastAsia="仿宋_GB2312" w:hint="default"/>
                <w:b/>
                <w:bCs/>
                <w:sz w:val="21"/>
                <w:lang/>
              </w:rPr>
              <w:t>/km</w:t>
            </w:r>
            <w:r>
              <w:rPr>
                <w:rStyle w:val="font41"/>
                <w:rFonts w:eastAsia="仿宋_GB2312" w:hint="default"/>
                <w:b/>
                <w:bCs/>
                <w:sz w:val="21"/>
                <w:lang/>
              </w:rPr>
              <w:t>2</w:t>
            </w: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）</w:t>
            </w:r>
          </w:p>
        </w:tc>
        <w:tc>
          <w:tcPr>
            <w:tcW w:w="7115" w:type="dxa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地质灾害发育特征及危害程度</w:t>
            </w:r>
          </w:p>
        </w:tc>
      </w:tr>
      <w:tr w:rsidR="00D515F7" w:rsidTr="00480CB6">
        <w:trPr>
          <w:trHeight w:val="300"/>
          <w:jc w:val="center"/>
        </w:trPr>
        <w:tc>
          <w:tcPr>
            <w:tcW w:w="799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  <w:tc>
          <w:tcPr>
            <w:tcW w:w="153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  <w:tc>
          <w:tcPr>
            <w:tcW w:w="103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类型</w:t>
            </w:r>
          </w:p>
        </w:tc>
        <w:tc>
          <w:tcPr>
            <w:tcW w:w="7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1"/>
                <w:lang/>
              </w:rPr>
              <w:t>数量</w:t>
            </w:r>
          </w:p>
        </w:tc>
        <w:tc>
          <w:tcPr>
            <w:tcW w:w="874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  <w:tc>
          <w:tcPr>
            <w:tcW w:w="942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  <w:tc>
          <w:tcPr>
            <w:tcW w:w="1129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  <w:tc>
          <w:tcPr>
            <w:tcW w:w="7115" w:type="dxa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</w:p>
        </w:tc>
      </w:tr>
      <w:tr w:rsidR="00D515F7" w:rsidTr="00480CB6">
        <w:trPr>
          <w:trHeight w:val="2170"/>
          <w:jc w:val="center"/>
        </w:trPr>
        <w:tc>
          <w:tcPr>
            <w:tcW w:w="79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高易发区</w:t>
            </w:r>
          </w:p>
        </w:tc>
        <w:tc>
          <w:tcPr>
            <w:tcW w:w="153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sz w:val="21"/>
              </w:rPr>
              <w:t>青龙寺塌陷（王家村崩塌、棉织厂崩塌）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、</w:t>
            </w:r>
            <w:r>
              <w:rPr>
                <w:rFonts w:eastAsia="仿宋_GB2312"/>
                <w:color w:val="000000"/>
                <w:sz w:val="21"/>
              </w:rPr>
              <w:t>地裂缝发育区（地裂缝上盘</w:t>
            </w:r>
            <w:r>
              <w:rPr>
                <w:rFonts w:eastAsia="仿宋_GB2312"/>
                <w:color w:val="000000"/>
                <w:sz w:val="21"/>
              </w:rPr>
              <w:t>6m</w:t>
            </w:r>
            <w:r>
              <w:rPr>
                <w:rFonts w:eastAsia="仿宋_GB2312"/>
                <w:color w:val="000000"/>
                <w:sz w:val="21"/>
              </w:rPr>
              <w:t>、下盘</w:t>
            </w:r>
            <w:r>
              <w:rPr>
                <w:rFonts w:eastAsia="仿宋_GB2312"/>
                <w:color w:val="000000"/>
                <w:sz w:val="21"/>
              </w:rPr>
              <w:t>4m</w:t>
            </w:r>
            <w:r>
              <w:rPr>
                <w:rFonts w:eastAsia="仿宋_GB2312"/>
                <w:color w:val="000000"/>
                <w:sz w:val="21"/>
              </w:rPr>
              <w:t>）</w:t>
            </w:r>
          </w:p>
        </w:tc>
        <w:tc>
          <w:tcPr>
            <w:tcW w:w="103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地裂缝、崩塌、地面塌陷</w:t>
            </w:r>
          </w:p>
        </w:tc>
        <w:tc>
          <w:tcPr>
            <w:tcW w:w="7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87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0.6410</w:t>
            </w:r>
          </w:p>
        </w:tc>
        <w:tc>
          <w:tcPr>
            <w:tcW w:w="94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1.14</w:t>
            </w:r>
          </w:p>
        </w:tc>
        <w:tc>
          <w:tcPr>
            <w:tcW w:w="11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0.6401</w:t>
            </w:r>
          </w:p>
        </w:tc>
        <w:tc>
          <w:tcPr>
            <w:tcW w:w="71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="42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王家村崩塌、棉织厂崩塌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位于青龙寺遗址保护区南侧塬边，长约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500m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，平均高度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5m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，宽度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2.5m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。其中塬边东侧斜坡前期进行过支护，西侧未支护段长约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145m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，平均高度约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4m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。崩塌体体积约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1450m</w:t>
            </w:r>
            <w:r>
              <w:rPr>
                <w:rFonts w:eastAsia="仿宋_GB2312"/>
                <w:color w:val="000000"/>
                <w:kern w:val="0"/>
                <w:sz w:val="21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，整体稳定性较差。</w:t>
            </w:r>
            <w:r>
              <w:rPr>
                <w:rFonts w:eastAsia="仿宋_GB2312"/>
                <w:color w:val="000000"/>
                <w:sz w:val="21"/>
              </w:rPr>
              <w:t>威胁游客及青龙寺遗址保护区工作人员、部分建筑及坡底建设场地偶见人员，危害程度大；青龙寺塌陷由于王家村废弃窑洞及地道的影响，地面已产生塌陷，发育程度中等。对青龙寺遗址保护中心文物及游客造成威胁，危害程度大；</w:t>
            </w: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1"/>
              </w:rPr>
              <w:t>~</w:t>
            </w: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12</w:t>
            </w:r>
            <w:r>
              <w:rPr>
                <w:rFonts w:eastAsia="仿宋_GB2312"/>
                <w:color w:val="000000"/>
                <w:sz w:val="21"/>
              </w:rPr>
              <w:t>地裂缝上盘</w:t>
            </w:r>
            <w:r>
              <w:rPr>
                <w:rFonts w:eastAsia="仿宋_GB2312"/>
                <w:color w:val="000000"/>
                <w:sz w:val="21"/>
              </w:rPr>
              <w:t>6m</w:t>
            </w:r>
            <w:r>
              <w:rPr>
                <w:rFonts w:eastAsia="仿宋_GB2312"/>
                <w:color w:val="000000"/>
                <w:sz w:val="21"/>
              </w:rPr>
              <w:t>下盘</w:t>
            </w:r>
            <w:r>
              <w:rPr>
                <w:rFonts w:eastAsia="仿宋_GB2312"/>
                <w:color w:val="000000"/>
                <w:sz w:val="21"/>
              </w:rPr>
              <w:t>4m</w:t>
            </w:r>
            <w:r>
              <w:rPr>
                <w:rFonts w:eastAsia="仿宋_GB2312"/>
                <w:color w:val="000000"/>
                <w:sz w:val="21"/>
              </w:rPr>
              <w:t>范围，该范围内地裂缝发育程度强。危害范围内人员和建筑，危害程度大。</w:t>
            </w:r>
          </w:p>
        </w:tc>
      </w:tr>
      <w:tr w:rsidR="00D515F7" w:rsidTr="00480CB6">
        <w:trPr>
          <w:trHeight w:val="1950"/>
          <w:jc w:val="center"/>
        </w:trPr>
        <w:tc>
          <w:tcPr>
            <w:tcW w:w="79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中易发区</w:t>
            </w:r>
          </w:p>
        </w:tc>
        <w:tc>
          <w:tcPr>
            <w:tcW w:w="153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sz w:val="21"/>
              </w:rPr>
              <w:t>中储仓库崩塌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、</w:t>
            </w:r>
            <w:r>
              <w:rPr>
                <w:rFonts w:eastAsia="仿宋_GB2312"/>
                <w:color w:val="000000"/>
                <w:sz w:val="21"/>
              </w:rPr>
              <w:t>地裂缝发育区（上盘</w:t>
            </w:r>
            <w:r>
              <w:rPr>
                <w:rFonts w:eastAsia="仿宋_GB2312"/>
                <w:color w:val="000000"/>
                <w:sz w:val="21"/>
              </w:rPr>
              <w:t>6~50m</w:t>
            </w:r>
            <w:r>
              <w:rPr>
                <w:rFonts w:eastAsia="仿宋_GB2312"/>
                <w:color w:val="000000"/>
                <w:sz w:val="21"/>
              </w:rPr>
              <w:t>、下盘</w:t>
            </w:r>
            <w:r>
              <w:rPr>
                <w:rFonts w:eastAsia="仿宋_GB2312"/>
                <w:color w:val="000000"/>
                <w:sz w:val="21"/>
              </w:rPr>
              <w:t>4~30m</w:t>
            </w:r>
            <w:r>
              <w:rPr>
                <w:rFonts w:eastAsia="仿宋_GB2312"/>
                <w:color w:val="000000"/>
                <w:sz w:val="21"/>
              </w:rPr>
              <w:t>）、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地面沉降发育区（沉降速率大于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0.03m/a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）</w:t>
            </w:r>
          </w:p>
        </w:tc>
        <w:tc>
          <w:tcPr>
            <w:tcW w:w="103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地裂缝、崩塌、地面沉降</w:t>
            </w:r>
          </w:p>
        </w:tc>
        <w:tc>
          <w:tcPr>
            <w:tcW w:w="7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</w:t>
            </w:r>
          </w:p>
        </w:tc>
        <w:tc>
          <w:tcPr>
            <w:tcW w:w="87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3.9241</w:t>
            </w:r>
          </w:p>
        </w:tc>
        <w:tc>
          <w:tcPr>
            <w:tcW w:w="94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6.99</w:t>
            </w:r>
          </w:p>
        </w:tc>
        <w:tc>
          <w:tcPr>
            <w:tcW w:w="11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3.9241</w:t>
            </w:r>
          </w:p>
        </w:tc>
        <w:tc>
          <w:tcPr>
            <w:tcW w:w="71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="420"/>
              <w:jc w:val="center"/>
              <w:textAlignment w:val="center"/>
              <w:rPr>
                <w:rFonts w:eastAsia="仿宋_GB2312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中储仓库崩塌位于原中储仓库北西侧和南侧，为陡直黄土边坡崩塌体平面形态呈折线形，主坡向为东，整体长约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340m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，边坡高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～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24m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，上缓下陡，发育程度中等。目前无威胁对象；</w:t>
            </w: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1"/>
              </w:rPr>
              <w:t>~</w:t>
            </w:r>
            <w:r>
              <w:rPr>
                <w:rFonts w:eastAsia="仿宋_GB2312"/>
                <w:i/>
                <w:iCs/>
                <w:color w:val="000000"/>
                <w:sz w:val="21"/>
              </w:rPr>
              <w:t>f</w:t>
            </w:r>
            <w:r>
              <w:rPr>
                <w:rFonts w:eastAsia="仿宋_GB2312"/>
                <w:color w:val="000000"/>
                <w:sz w:val="21"/>
                <w:vertAlign w:val="subscript"/>
              </w:rPr>
              <w:t>12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地裂缝上盘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6~50m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、下盘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4~30m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范围，该范围内地裂缝发育程度中等。危害范围内人员和建筑，危害程度中等；地面沉降发育区位于西等驾坡和东三爻村，为沉降速率大于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0.03m/a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的区域，该区域地面沉降发育程度中等；威胁影响范围内的</w:t>
            </w:r>
            <w:r>
              <w:rPr>
                <w:rFonts w:eastAsia="仿宋_GB2312"/>
                <w:color w:val="000000"/>
                <w:sz w:val="21"/>
              </w:rPr>
              <w:t>人员和建筑，危害程度中等。</w:t>
            </w:r>
          </w:p>
        </w:tc>
      </w:tr>
      <w:tr w:rsidR="00D515F7" w:rsidTr="00480CB6">
        <w:trPr>
          <w:trHeight w:val="844"/>
          <w:jc w:val="center"/>
        </w:trPr>
        <w:tc>
          <w:tcPr>
            <w:tcW w:w="79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低易发区</w:t>
            </w:r>
          </w:p>
        </w:tc>
        <w:tc>
          <w:tcPr>
            <w:tcW w:w="153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雁塔区大部分区域</w:t>
            </w:r>
          </w:p>
        </w:tc>
        <w:tc>
          <w:tcPr>
            <w:tcW w:w="103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地面沉降</w:t>
            </w:r>
          </w:p>
        </w:tc>
        <w:tc>
          <w:tcPr>
            <w:tcW w:w="716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0</w:t>
            </w:r>
          </w:p>
        </w:tc>
        <w:tc>
          <w:tcPr>
            <w:tcW w:w="874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51.5526</w:t>
            </w:r>
          </w:p>
        </w:tc>
        <w:tc>
          <w:tcPr>
            <w:tcW w:w="94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91.87</w:t>
            </w:r>
          </w:p>
        </w:tc>
        <w:tc>
          <w:tcPr>
            <w:tcW w:w="11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Chars="0" w:firstLine="0"/>
              <w:jc w:val="center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1"/>
              </w:rPr>
              <w:t>--</w:t>
            </w:r>
          </w:p>
        </w:tc>
        <w:tc>
          <w:tcPr>
            <w:tcW w:w="71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15F7" w:rsidRDefault="00D515F7" w:rsidP="00480CB6">
            <w:pPr>
              <w:widowControl/>
              <w:spacing w:line="0" w:lineRule="atLeast"/>
              <w:ind w:firstLine="42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lang/>
              </w:rPr>
            </w:pPr>
            <w:r>
              <w:rPr>
                <w:rFonts w:eastAsia="仿宋_GB2312"/>
                <w:color w:val="000000"/>
                <w:kern w:val="0"/>
                <w:sz w:val="21"/>
                <w:lang/>
              </w:rPr>
              <w:t>为雁塔区内的大部分区域。该区域位于地裂缝影响范围外，崩塌、滑坡等地质灾害不发育，地面沉降沉降速率小于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0.03m/a</w:t>
            </w:r>
            <w:r>
              <w:rPr>
                <w:rFonts w:eastAsia="仿宋_GB2312"/>
                <w:color w:val="000000"/>
                <w:kern w:val="0"/>
                <w:sz w:val="21"/>
                <w:lang/>
              </w:rPr>
              <w:t>，沉降变形速率小。</w:t>
            </w:r>
          </w:p>
        </w:tc>
      </w:tr>
    </w:tbl>
    <w:p w:rsidR="00035380" w:rsidRDefault="00035380" w:rsidP="00D515F7">
      <w:pPr>
        <w:ind w:firstLineChars="0" w:firstLine="0"/>
      </w:pPr>
    </w:p>
    <w:sectPr w:rsidR="00035380" w:rsidSect="00D515F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80" w:rsidRDefault="00035380" w:rsidP="00D515F7">
      <w:pPr>
        <w:spacing w:line="240" w:lineRule="auto"/>
        <w:ind w:firstLine="560"/>
      </w:pPr>
      <w:r>
        <w:separator/>
      </w:r>
    </w:p>
  </w:endnote>
  <w:endnote w:type="continuationSeparator" w:id="1">
    <w:p w:rsidR="00035380" w:rsidRDefault="00035380" w:rsidP="00D515F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80" w:rsidRDefault="00035380" w:rsidP="00D515F7">
      <w:pPr>
        <w:spacing w:line="240" w:lineRule="auto"/>
        <w:ind w:firstLine="560"/>
      </w:pPr>
      <w:r>
        <w:separator/>
      </w:r>
    </w:p>
  </w:footnote>
  <w:footnote w:type="continuationSeparator" w:id="1">
    <w:p w:rsidR="00035380" w:rsidRDefault="00035380" w:rsidP="00D515F7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5F7"/>
    <w:rsid w:val="00035380"/>
    <w:rsid w:val="00D5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15F7"/>
    <w:pPr>
      <w:widowControl w:val="0"/>
      <w:spacing w:line="360" w:lineRule="auto"/>
      <w:ind w:firstLineChars="200" w:firstLine="200"/>
    </w:pPr>
    <w:rPr>
      <w:rFonts w:ascii="Times New Roman" w:eastAsia="仿宋" w:hAnsi="Times New Roman" w:cs="Times New Roman"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51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515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15F7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515F7"/>
    <w:rPr>
      <w:sz w:val="18"/>
      <w:szCs w:val="18"/>
    </w:rPr>
  </w:style>
  <w:style w:type="character" w:customStyle="1" w:styleId="font61">
    <w:name w:val="font61"/>
    <w:qFormat/>
    <w:rsid w:val="00D515F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qFormat/>
    <w:rsid w:val="00D515F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sid w:val="00D515F7"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41">
    <w:name w:val="font41"/>
    <w:qFormat/>
    <w:rsid w:val="00D515F7"/>
    <w:rPr>
      <w:rFonts w:ascii="仿宋" w:eastAsia="仿宋" w:hAnsi="仿宋" w:cs="仿宋" w:hint="eastAsia"/>
      <w:color w:val="000000"/>
      <w:sz w:val="18"/>
      <w:szCs w:val="18"/>
      <w:u w:val="none"/>
      <w:vertAlign w:val="superscript"/>
    </w:rPr>
  </w:style>
  <w:style w:type="paragraph" w:styleId="a0">
    <w:name w:val="Body Text"/>
    <w:basedOn w:val="a"/>
    <w:link w:val="Char1"/>
    <w:uiPriority w:val="99"/>
    <w:semiHidden/>
    <w:unhideWhenUsed/>
    <w:rsid w:val="00D515F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515F7"/>
    <w:rPr>
      <w:rFonts w:ascii="Times New Roman" w:eastAsia="仿宋" w:hAnsi="Times New Roman" w:cs="Times New Roman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2022-05-24T08:23:00Z</dcterms:created>
  <dcterms:modified xsi:type="dcterms:W3CDTF">2022-05-24T08:23:00Z</dcterms:modified>
</cp:coreProperties>
</file>