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办理缓缴失业、工伤保险费的有关规定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办理规定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申请缓缴失业和工伤保险费的企业须同时满足以下两个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1.2022年一季度面临暂时性生产经营困难，连续3个月亏损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2财务困难且无力足额缴纳社会保险费。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“僵尸”企业、严重失信企业（信用中国陕西网站列入黑名单的失信企业)等不在缓缴范围。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(二)缓缴期限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缓缴期限自2022年欠费之月起不超过6个月，缓缴终止期不得超过2022年12月。缓缴期间免收带纳金和单位缴费部分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(三)缓缴险种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企业可以单项申请缓缴失业或工伤保险费，也可以同时申请缓缴失业和工伤保险费。若企业同时申请缓缴失业和工伤保险费，缓缴期限必须一致。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二、缓缴待遇享受规定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(一)缓缴期间，企业和职工缴费年限连续计算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(二)在缓缴期间出现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申领</w:t>
      </w:r>
      <w:r>
        <w:rPr>
          <w:rFonts w:hint="eastAsia" w:ascii="仿宋_GB2312" w:hAnsi="仿宋_GB2312" w:eastAsia="仿宋_GB2312" w:cs="仿宋_GB2312"/>
          <w:sz w:val="32"/>
          <w:szCs w:val="32"/>
        </w:rPr>
        <w:t>失业保险待遇或需要办理失业保险关系转移接续的情况，单位应先补齐缓缴的失业保险费方可办理。缓缴工伤保险费政策，不影响参保职工享受工伤保险相关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待遇。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C31E6"/>
    <w:multiLevelType w:val="singleLevel"/>
    <w:tmpl w:val="9A5C31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77298"/>
    <w:rsid w:val="2030040F"/>
    <w:rsid w:val="3C977298"/>
    <w:rsid w:val="6E77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2022-04-24T02:24:00Z</dcterms:created>
  <dc:creator>~柳~</dc:creator>
  <cp:lastModifiedBy>~柳~</cp:lastModifiedBy>
  <dcterms:modified xsi:type="dcterms:W3CDTF">2022-04-24T03:01:06Z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4C5B63455FEA4DB2932BF6475CEAE4E7</vt:lpwstr>
  </property>
</Properties>
</file>