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CE" w:rsidRDefault="00BB3046">
      <w:pPr>
        <w:spacing w:line="600" w:lineRule="exact"/>
        <w:jc w:val="center"/>
        <w:rPr>
          <w:rStyle w:val="NormalCharacter"/>
          <w:rFonts w:ascii="方正小标宋简体" w:eastAsia="方正小标宋简体" w:hAnsi="黑体"/>
          <w:sz w:val="44"/>
          <w:szCs w:val="44"/>
        </w:rPr>
      </w:pPr>
      <w:r>
        <w:rPr>
          <w:rStyle w:val="NormalCharacter"/>
          <w:rFonts w:ascii="方正小标宋简体" w:eastAsia="方正小标宋简体" w:hAnsi="黑体"/>
          <w:sz w:val="44"/>
          <w:szCs w:val="44"/>
        </w:rPr>
        <w:t>雁塔区免疫规划工作管理办法（暂行）</w:t>
      </w:r>
    </w:p>
    <w:p w:rsidR="00D846CE" w:rsidRDefault="00D846CE">
      <w:pPr>
        <w:spacing w:line="600" w:lineRule="exact"/>
        <w:rPr>
          <w:rStyle w:val="NormalCharacter"/>
          <w:rFonts w:ascii="宋体" w:hAnsi="宋体"/>
          <w:sz w:val="44"/>
          <w:szCs w:val="44"/>
        </w:rPr>
      </w:pP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疫苗关系人民群众健康，关系公共卫生安全和国家安全，是国家战略性、公益性产品。党中央、国务院高度重视人民群众用药安全，要求用最严谨的标准、最严格的监管、最严厉的处罚、最严肃的问责等方式加强疫苗监管。为进一步提升我区疫苗使用和预防接种服务管理水平，特制定本办法。</w:t>
      </w:r>
    </w:p>
    <w:p w:rsidR="00D846CE" w:rsidRDefault="00BB3046">
      <w:pPr>
        <w:spacing w:line="560" w:lineRule="exact"/>
        <w:ind w:firstLineChars="200" w:firstLine="640"/>
        <w:rPr>
          <w:rStyle w:val="NormalCharacter"/>
          <w:rFonts w:ascii="黑体" w:eastAsia="黑体" w:hAnsi="黑体" w:cs="仿宋"/>
          <w:bCs/>
          <w:color w:val="000000"/>
          <w:sz w:val="32"/>
          <w:szCs w:val="32"/>
        </w:rPr>
      </w:pPr>
      <w:r>
        <w:rPr>
          <w:rStyle w:val="NormalCharacter"/>
          <w:rFonts w:ascii="黑体" w:eastAsia="黑体" w:hAnsi="黑体" w:cs="仿宋"/>
          <w:bCs/>
          <w:color w:val="000000"/>
          <w:sz w:val="32"/>
          <w:szCs w:val="32"/>
        </w:rPr>
        <w:t>一、指导思想</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预防接种是预防控制传染病最经济、最有效的措施，对于保障人民群众生命安全和身体健康具有十分重要的意义。我区疫苗使用和预防接种工作以习近平新时代中国特色社会主义思想为指导，认真落实新时代卫生健康工作方针，在区委、区政府的统一领导下，强化宗旨意识，坚持预防为主，以问题为导向，夯实工作基础，逐级压实责任，优化疫苗使用和预防接种管理服务，同时做好犬伤处置工作，确保各项工作规范安全，切实维护人民群众身体健康。</w:t>
      </w:r>
    </w:p>
    <w:p w:rsidR="00D846CE" w:rsidRDefault="00BB3046">
      <w:pPr>
        <w:spacing w:line="560" w:lineRule="exact"/>
        <w:ind w:firstLineChars="200" w:firstLine="640"/>
        <w:rPr>
          <w:rStyle w:val="NormalCharacter"/>
          <w:rFonts w:ascii="黑体" w:eastAsia="黑体" w:hAnsi="黑体" w:cs="仿宋"/>
          <w:bCs/>
          <w:color w:val="000000"/>
          <w:sz w:val="32"/>
          <w:szCs w:val="32"/>
        </w:rPr>
      </w:pPr>
      <w:r>
        <w:rPr>
          <w:rStyle w:val="NormalCharacter"/>
          <w:rFonts w:ascii="黑体" w:eastAsia="黑体" w:hAnsi="黑体" w:cs="仿宋"/>
          <w:bCs/>
          <w:color w:val="000000"/>
          <w:sz w:val="32"/>
          <w:szCs w:val="32"/>
        </w:rPr>
        <w:t>二、基本原则</w:t>
      </w:r>
    </w:p>
    <w:p w:rsidR="00D846CE" w:rsidRDefault="00BB3046">
      <w:pPr>
        <w:spacing w:line="560" w:lineRule="exact"/>
        <w:ind w:firstLineChars="200"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w:t>
      </w:r>
      <w:r>
        <w:rPr>
          <w:rStyle w:val="NormalCharacter"/>
          <w:rFonts w:ascii="楷体_GB2312" w:eastAsia="楷体_GB2312" w:hAnsi="楷体_GB2312" w:cs="楷体_GB2312" w:hint="eastAsia"/>
          <w:sz w:val="32"/>
          <w:szCs w:val="32"/>
        </w:rPr>
        <w:t>一</w:t>
      </w:r>
      <w:r>
        <w:rPr>
          <w:rStyle w:val="NormalCharacter"/>
          <w:rFonts w:ascii="楷体_GB2312" w:eastAsia="楷体_GB2312" w:hAnsi="楷体_GB2312" w:cs="楷体_GB2312" w:hint="eastAsia"/>
          <w:sz w:val="32"/>
          <w:szCs w:val="32"/>
        </w:rPr>
        <w:t>)</w:t>
      </w:r>
      <w:r>
        <w:rPr>
          <w:rStyle w:val="NormalCharacter"/>
          <w:rFonts w:ascii="楷体_GB2312" w:eastAsia="楷体_GB2312" w:hAnsi="楷体_GB2312" w:cs="楷体_GB2312" w:hint="eastAsia"/>
          <w:sz w:val="32"/>
          <w:szCs w:val="32"/>
        </w:rPr>
        <w:t>免疫规划工作</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按照《中华人民共和国疫苗管理法》规定，遵循“布局合理、职责明确、规范有序、群</w:t>
      </w:r>
      <w:r>
        <w:rPr>
          <w:rStyle w:val="NormalCharacter"/>
          <w:rFonts w:ascii="仿宋_GB2312" w:eastAsia="仿宋_GB2312" w:hAnsi="仿宋_GB2312" w:cs="仿宋_GB2312" w:hint="eastAsia"/>
          <w:sz w:val="32"/>
          <w:szCs w:val="32"/>
        </w:rPr>
        <w:t>众满意”的原则，根据辖区人口密度、服务半径、地理条件等基础条件，结合医疗卫生资源配置以及传染病防控、预防接种服务需求等实际情况，由区卫生健康局科学、合理</w:t>
      </w:r>
      <w:bookmarkStart w:id="0" w:name="_Hlk81990490"/>
      <w:r>
        <w:rPr>
          <w:rStyle w:val="NormalCharacter"/>
          <w:rFonts w:ascii="仿宋_GB2312" w:eastAsia="仿宋_GB2312" w:hAnsi="仿宋_GB2312" w:cs="仿宋_GB2312" w:hint="eastAsia"/>
          <w:sz w:val="32"/>
          <w:szCs w:val="32"/>
        </w:rPr>
        <w:t>指定辖区内符合条件的医疗卫生机构承担预防接种工作</w:t>
      </w:r>
      <w:bookmarkEnd w:id="0"/>
      <w:r>
        <w:rPr>
          <w:rStyle w:val="NormalCharacter"/>
          <w:rFonts w:ascii="仿宋_GB2312" w:eastAsia="仿宋_GB2312" w:hAnsi="仿宋_GB2312" w:cs="仿宋_GB2312" w:hint="eastAsia"/>
          <w:sz w:val="32"/>
          <w:szCs w:val="32"/>
        </w:rPr>
        <w:t>，并明确接种单位的责任区域和预防接种服务内容。接种单位</w:t>
      </w:r>
      <w:r>
        <w:rPr>
          <w:rStyle w:val="NormalCharacter"/>
          <w:rFonts w:ascii="仿宋_GB2312" w:eastAsia="仿宋_GB2312" w:hAnsi="仿宋_GB2312" w:cs="仿宋_GB2312" w:hint="eastAsia"/>
          <w:sz w:val="32"/>
          <w:szCs w:val="32"/>
        </w:rPr>
        <w:lastRenderedPageBreak/>
        <w:t>设置应当充分考虑群众的便利性和服务人口的数量及特征，原则上每个社区卫生服务中心应当设立一个预防接种门诊，服务半径不超过</w:t>
      </w:r>
      <w:r>
        <w:rPr>
          <w:rStyle w:val="NormalCharacter"/>
          <w:rFonts w:ascii="仿宋_GB2312" w:eastAsia="仿宋_GB2312" w:hAnsi="仿宋_GB2312" w:cs="仿宋_GB2312" w:hint="eastAsia"/>
          <w:sz w:val="32"/>
          <w:szCs w:val="32"/>
        </w:rPr>
        <w:t>5</w:t>
      </w:r>
      <w:r>
        <w:rPr>
          <w:rStyle w:val="NormalCharacter"/>
          <w:rFonts w:ascii="仿宋_GB2312" w:eastAsia="仿宋_GB2312" w:hAnsi="仿宋_GB2312" w:cs="仿宋_GB2312" w:hint="eastAsia"/>
          <w:sz w:val="32"/>
          <w:szCs w:val="32"/>
        </w:rPr>
        <w:t>公里。</w:t>
      </w:r>
    </w:p>
    <w:p w:rsidR="00D846CE" w:rsidRDefault="00BB3046">
      <w:pPr>
        <w:spacing w:line="560" w:lineRule="exact"/>
        <w:ind w:firstLineChars="200"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（二）犬伤处置门诊</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按照《狂犬病暴露预防处置工作规范》要求，根据辖区现有医疗卫生资源的实际情况和门诊开设后运行效率，以合理规划布局</w:t>
      </w:r>
      <w:r>
        <w:rPr>
          <w:rStyle w:val="NormalCharacter"/>
          <w:rFonts w:ascii="仿宋_GB2312" w:eastAsia="仿宋_GB2312" w:hAnsi="仿宋_GB2312" w:cs="仿宋_GB2312" w:hint="eastAsia"/>
          <w:sz w:val="32"/>
          <w:szCs w:val="32"/>
        </w:rPr>
        <w:t>，保证狂犬病暴露人群及时、方便就诊为总原则，由区卫生健康局科学、合理设置辖区犬伤处置门诊。规范辖区内狂犬病暴露预防处置工作，提高狂犬病暴露预防处置能力与工作质量，降低暴露人群发病风险，进一步控制我区狂犬病疫情。</w:t>
      </w:r>
    </w:p>
    <w:p w:rsidR="00D846CE" w:rsidRDefault="00BB3046">
      <w:pPr>
        <w:spacing w:line="560" w:lineRule="exact"/>
        <w:ind w:firstLineChars="200" w:firstLine="640"/>
        <w:rPr>
          <w:rStyle w:val="NormalCharacter"/>
          <w:rFonts w:ascii="黑体" w:eastAsia="黑体" w:hAnsi="黑体" w:cs="仿宋"/>
          <w:bCs/>
          <w:color w:val="000000"/>
          <w:sz w:val="32"/>
          <w:szCs w:val="32"/>
        </w:rPr>
      </w:pPr>
      <w:r>
        <w:rPr>
          <w:rStyle w:val="NormalCharacter"/>
          <w:rFonts w:ascii="黑体" w:eastAsia="黑体" w:hAnsi="黑体" w:cs="仿宋"/>
          <w:bCs/>
          <w:color w:val="000000"/>
          <w:sz w:val="32"/>
          <w:szCs w:val="32"/>
        </w:rPr>
        <w:t>三、审批流程</w:t>
      </w:r>
    </w:p>
    <w:p w:rsidR="00D846CE" w:rsidRDefault="00BB3046">
      <w:pPr>
        <w:spacing w:line="560" w:lineRule="exact"/>
        <w:ind w:firstLineChars="200"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（一）预防接种门诊</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区行政审批局在接收到关于设置预防保健业务的申请后，及时函告区卫生健康局，区卫生健康局需按照《中华人民共和国疫苗管理法》和《预防接种工作规范》（</w:t>
      </w:r>
      <w:r>
        <w:rPr>
          <w:rStyle w:val="NormalCharacter"/>
          <w:rFonts w:ascii="仿宋_GB2312" w:eastAsia="仿宋_GB2312" w:hAnsi="仿宋_GB2312" w:cs="仿宋_GB2312" w:hint="eastAsia"/>
          <w:sz w:val="32"/>
          <w:szCs w:val="32"/>
        </w:rPr>
        <w:t>2016</w:t>
      </w:r>
      <w:r>
        <w:rPr>
          <w:rStyle w:val="NormalCharacter"/>
          <w:rFonts w:ascii="仿宋_GB2312" w:eastAsia="仿宋_GB2312" w:hAnsi="仿宋_GB2312" w:cs="仿宋_GB2312" w:hint="eastAsia"/>
          <w:sz w:val="32"/>
          <w:szCs w:val="32"/>
        </w:rPr>
        <w:t>）版）要求，结合辖区人口密度、服务半径、地理条件、卫生资源配置等因素进行综合评估，指定辖区内符合条件的医疗卫生机构承</w:t>
      </w:r>
      <w:r>
        <w:rPr>
          <w:rStyle w:val="NormalCharacter"/>
          <w:rFonts w:ascii="仿宋_GB2312" w:eastAsia="仿宋_GB2312" w:hAnsi="仿宋_GB2312" w:cs="仿宋_GB2312" w:hint="eastAsia"/>
          <w:sz w:val="32"/>
          <w:szCs w:val="32"/>
        </w:rPr>
        <w:t>担预防接种工作，优先选取公办医疗机构，并严格按照《雁塔区预防接种门诊设置标准》组织专业人员进行验收，合格后方可开展预防接种相关工作。</w:t>
      </w:r>
    </w:p>
    <w:p w:rsidR="00D846CE" w:rsidRDefault="00BB3046">
      <w:pPr>
        <w:spacing w:line="560" w:lineRule="exact"/>
        <w:ind w:firstLineChars="200"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（二）犬伤处置门诊</w:t>
      </w:r>
    </w:p>
    <w:p w:rsidR="00D846CE" w:rsidRDefault="00BB3046">
      <w:pPr>
        <w:spacing w:line="560" w:lineRule="exact"/>
        <w:ind w:firstLineChars="200" w:firstLine="640"/>
        <w:rPr>
          <w:rStyle w:val="NormalCharacter"/>
          <w:rFonts w:ascii="仿宋" w:eastAsia="仿宋" w:hAnsi="仿宋"/>
          <w:sz w:val="32"/>
          <w:szCs w:val="32"/>
        </w:rPr>
      </w:pPr>
      <w:r>
        <w:rPr>
          <w:rStyle w:val="NormalCharacter"/>
          <w:rFonts w:ascii="仿宋_GB2312" w:eastAsia="仿宋_GB2312" w:hAnsi="仿宋_GB2312" w:cs="仿宋_GB2312" w:hint="eastAsia"/>
          <w:sz w:val="32"/>
          <w:szCs w:val="32"/>
        </w:rPr>
        <w:t>区行政审批局在接收到关于设置犬伤处置门诊的申请后，及时函告区卫生健康局，区卫生健康局需按照《陕西省卫生计生委办公室关于印发陕西省犬伤处置门诊规范化建设标准</w:t>
      </w:r>
      <w:r>
        <w:rPr>
          <w:rStyle w:val="NormalCharacter"/>
          <w:rFonts w:ascii="仿宋_GB2312" w:eastAsia="仿宋_GB2312" w:hAnsi="仿宋_GB2312" w:cs="仿宋_GB2312" w:hint="eastAsia"/>
          <w:sz w:val="32"/>
          <w:szCs w:val="32"/>
        </w:rPr>
        <w:t>(2015</w:t>
      </w:r>
      <w:r>
        <w:rPr>
          <w:rStyle w:val="NormalCharacter"/>
          <w:rFonts w:ascii="仿宋_GB2312" w:eastAsia="仿宋_GB2312" w:hAnsi="仿宋_GB2312" w:cs="仿宋_GB2312" w:hint="eastAsia"/>
          <w:sz w:val="32"/>
          <w:szCs w:val="32"/>
        </w:rPr>
        <w:t>版）</w:t>
      </w:r>
      <w:r>
        <w:rPr>
          <w:rStyle w:val="NormalCharacter"/>
          <w:rFonts w:ascii="仿宋_GB2312" w:eastAsia="仿宋_GB2312" w:hAnsi="仿宋_GB2312" w:cs="仿宋_GB2312" w:hint="eastAsia"/>
          <w:sz w:val="32"/>
          <w:szCs w:val="32"/>
        </w:rPr>
        <w:lastRenderedPageBreak/>
        <w:t>的通知》（陕卫办疾控发〔</w:t>
      </w:r>
      <w:r>
        <w:rPr>
          <w:rStyle w:val="NormalCharacter"/>
          <w:rFonts w:ascii="仿宋_GB2312" w:eastAsia="仿宋_GB2312" w:hAnsi="仿宋_GB2312" w:cs="仿宋_GB2312" w:hint="eastAsia"/>
          <w:sz w:val="32"/>
          <w:szCs w:val="32"/>
        </w:rPr>
        <w:t>2015</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56</w:t>
      </w:r>
      <w:r>
        <w:rPr>
          <w:rStyle w:val="NormalCharacter"/>
          <w:rFonts w:ascii="仿宋_GB2312" w:eastAsia="仿宋_GB2312" w:hAnsi="仿宋_GB2312" w:cs="仿宋_GB2312" w:hint="eastAsia"/>
          <w:sz w:val="32"/>
          <w:szCs w:val="32"/>
        </w:rPr>
        <w:t>号）要求，设置犬伤处置门诊时，在方便暴露人群</w:t>
      </w:r>
      <w:r>
        <w:rPr>
          <w:rStyle w:val="NormalCharacter"/>
          <w:rFonts w:ascii="仿宋_GB2312" w:eastAsia="仿宋_GB2312" w:hAnsi="仿宋_GB2312" w:cs="仿宋_GB2312" w:hint="eastAsia"/>
          <w:sz w:val="32"/>
          <w:szCs w:val="32"/>
        </w:rPr>
        <w:t>1</w:t>
      </w:r>
      <w:r>
        <w:rPr>
          <w:rStyle w:val="NormalCharacter"/>
          <w:rFonts w:ascii="仿宋_GB2312" w:eastAsia="仿宋_GB2312" w:hAnsi="仿宋_GB2312" w:cs="仿宋_GB2312" w:hint="eastAsia"/>
          <w:sz w:val="32"/>
          <w:szCs w:val="32"/>
        </w:rPr>
        <w:t>小时车程及时就近就诊的前提下，综合考虑本区现有医疗卫生资源的实际情况和门诊开设后运行效率，科学评估、合理规划设置辖区犬伤处置门诊。原则上要依托二级以上综合医院或者具备条件的基层社区卫生服务中心。同时严格按照《陕西省犬伤处置门诊规范化建设标准</w:t>
      </w:r>
      <w:r>
        <w:rPr>
          <w:rStyle w:val="NormalCharacter"/>
          <w:rFonts w:ascii="仿宋_GB2312" w:eastAsia="仿宋_GB2312" w:hAnsi="仿宋_GB2312" w:cs="仿宋_GB2312" w:hint="eastAsia"/>
          <w:sz w:val="32"/>
          <w:szCs w:val="32"/>
        </w:rPr>
        <w:t>(2015</w:t>
      </w:r>
      <w:r>
        <w:rPr>
          <w:rStyle w:val="NormalCharacter"/>
          <w:rFonts w:ascii="仿宋_GB2312" w:eastAsia="仿宋_GB2312" w:hAnsi="仿宋_GB2312" w:cs="仿宋_GB2312" w:hint="eastAsia"/>
          <w:sz w:val="32"/>
          <w:szCs w:val="32"/>
        </w:rPr>
        <w:t>版）》组织</w:t>
      </w:r>
      <w:r>
        <w:rPr>
          <w:rStyle w:val="NormalCharacter"/>
          <w:rFonts w:ascii="仿宋_GB2312" w:eastAsia="仿宋_GB2312" w:hAnsi="仿宋_GB2312" w:cs="仿宋_GB2312" w:hint="eastAsia"/>
          <w:sz w:val="32"/>
          <w:szCs w:val="32"/>
        </w:rPr>
        <w:t>专业人员进行验收，合格后方可开展犬伤处置相关工作。</w:t>
      </w:r>
    </w:p>
    <w:p w:rsidR="00D846CE" w:rsidRDefault="00BB3046">
      <w:pPr>
        <w:spacing w:line="560" w:lineRule="exact"/>
        <w:ind w:firstLineChars="200" w:firstLine="640"/>
        <w:rPr>
          <w:rStyle w:val="NormalCharacter"/>
          <w:rFonts w:ascii="黑体" w:eastAsia="黑体" w:hAnsi="黑体" w:cs="仿宋"/>
          <w:bCs/>
          <w:color w:val="000000"/>
          <w:sz w:val="32"/>
          <w:szCs w:val="32"/>
        </w:rPr>
      </w:pPr>
      <w:r>
        <w:rPr>
          <w:rStyle w:val="NormalCharacter"/>
          <w:rFonts w:ascii="黑体" w:eastAsia="黑体" w:hAnsi="黑体" w:cs="仿宋"/>
          <w:bCs/>
          <w:color w:val="000000"/>
          <w:sz w:val="32"/>
          <w:szCs w:val="32"/>
        </w:rPr>
        <w:t>四、建设标准</w:t>
      </w:r>
    </w:p>
    <w:p w:rsidR="00D846CE" w:rsidRDefault="00BB3046">
      <w:pPr>
        <w:spacing w:line="560" w:lineRule="exact"/>
        <w:ind w:firstLineChars="200"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（一）预防接种门诊</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各从事预防保健服务的医疗机构，严格按照《中华人民共和国疫苗管理法》和《预防接种工作规范》（</w:t>
      </w:r>
      <w:r>
        <w:rPr>
          <w:rStyle w:val="NormalCharacter"/>
          <w:rFonts w:ascii="仿宋_GB2312" w:eastAsia="仿宋_GB2312" w:hAnsi="仿宋_GB2312" w:cs="仿宋_GB2312" w:hint="eastAsia"/>
          <w:sz w:val="32"/>
          <w:szCs w:val="32"/>
        </w:rPr>
        <w:t>2016</w:t>
      </w:r>
      <w:r>
        <w:rPr>
          <w:rStyle w:val="NormalCharacter"/>
          <w:rFonts w:ascii="仿宋_GB2312" w:eastAsia="仿宋_GB2312" w:hAnsi="仿宋_GB2312" w:cs="仿宋_GB2312" w:hint="eastAsia"/>
          <w:sz w:val="32"/>
          <w:szCs w:val="32"/>
        </w:rPr>
        <w:t>）版）进行建设，具体标准要求如下：</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1.</w:t>
      </w:r>
      <w:r>
        <w:rPr>
          <w:rStyle w:val="NormalCharacter"/>
          <w:rFonts w:ascii="仿宋_GB2312" w:eastAsia="仿宋_GB2312" w:hAnsi="仿宋_GB2312" w:cs="仿宋_GB2312" w:hint="eastAsia"/>
          <w:sz w:val="32"/>
          <w:szCs w:val="32"/>
        </w:rPr>
        <w:t>房屋面积：社区卫生服务中心（二级接种门诊）不少于</w:t>
      </w:r>
      <w:r>
        <w:rPr>
          <w:rStyle w:val="NormalCharacter"/>
          <w:rFonts w:ascii="仿宋_GB2312" w:eastAsia="仿宋_GB2312" w:hAnsi="仿宋_GB2312" w:cs="仿宋_GB2312" w:hint="eastAsia"/>
          <w:sz w:val="32"/>
          <w:szCs w:val="32"/>
        </w:rPr>
        <w:t>100</w:t>
      </w:r>
      <w:r>
        <w:rPr>
          <w:rStyle w:val="NormalCharacter"/>
          <w:rFonts w:ascii="仿宋_GB2312" w:eastAsia="仿宋_GB2312" w:hAnsi="仿宋_GB2312" w:cs="仿宋_GB2312" w:hint="eastAsia"/>
          <w:sz w:val="32"/>
          <w:szCs w:val="32"/>
        </w:rPr>
        <w:t>㎡，三级接种门诊不少于</w:t>
      </w:r>
      <w:r>
        <w:rPr>
          <w:rStyle w:val="NormalCharacter"/>
          <w:rFonts w:ascii="仿宋_GB2312" w:eastAsia="仿宋_GB2312" w:hAnsi="仿宋_GB2312" w:cs="仿宋_GB2312" w:hint="eastAsia"/>
          <w:sz w:val="32"/>
          <w:szCs w:val="32"/>
        </w:rPr>
        <w:t>80</w:t>
      </w:r>
      <w:r>
        <w:rPr>
          <w:rStyle w:val="NormalCharacter"/>
          <w:rFonts w:ascii="仿宋_GB2312" w:eastAsia="仿宋_GB2312" w:hAnsi="仿宋_GB2312" w:cs="仿宋_GB2312" w:hint="eastAsia"/>
          <w:sz w:val="32"/>
          <w:szCs w:val="32"/>
        </w:rPr>
        <w:t>㎡；</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2</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接种人员：工作人员不少于</w:t>
      </w:r>
      <w:r>
        <w:rPr>
          <w:rStyle w:val="NormalCharacter"/>
          <w:rFonts w:ascii="仿宋_GB2312" w:eastAsia="仿宋_GB2312" w:hAnsi="仿宋_GB2312" w:cs="仿宋_GB2312" w:hint="eastAsia"/>
          <w:sz w:val="32"/>
          <w:szCs w:val="32"/>
        </w:rPr>
        <w:t>10</w:t>
      </w:r>
      <w:r>
        <w:rPr>
          <w:rStyle w:val="NormalCharacter"/>
          <w:rFonts w:ascii="仿宋_GB2312" w:eastAsia="仿宋_GB2312" w:hAnsi="仿宋_GB2312" w:cs="仿宋_GB2312" w:hint="eastAsia"/>
          <w:sz w:val="32"/>
          <w:szCs w:val="32"/>
        </w:rPr>
        <w:t>人，其中固定专职人员不少于</w:t>
      </w:r>
      <w:r>
        <w:rPr>
          <w:rStyle w:val="NormalCharacter"/>
          <w:rFonts w:ascii="仿宋_GB2312" w:eastAsia="仿宋_GB2312" w:hAnsi="仿宋_GB2312" w:cs="仿宋_GB2312" w:hint="eastAsia"/>
          <w:sz w:val="32"/>
          <w:szCs w:val="32"/>
        </w:rPr>
        <w:t>5</w:t>
      </w:r>
      <w:r>
        <w:rPr>
          <w:rStyle w:val="NormalCharacter"/>
          <w:rFonts w:ascii="仿宋_GB2312" w:eastAsia="仿宋_GB2312" w:hAnsi="仿宋_GB2312" w:cs="仿宋_GB2312" w:hint="eastAsia"/>
          <w:sz w:val="32"/>
          <w:szCs w:val="32"/>
        </w:rPr>
        <w:t>人，预检和留观人员应有临床医学执业资质；</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3</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接种实施：接种责任区域明确，服务时间及疫苗品类等信息在醒目位置进行公示，接种操作程序规范；</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4</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资料管理：完整准确填写疫苗出入库登记表，接种卡、证、册记录完整且一致；</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5</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信息管理：建立预防接种数字化门诊，将和疫苗追溯和冷链监测管理系统对接，实现目标儿童信息化管理。</w:t>
      </w:r>
    </w:p>
    <w:p w:rsidR="00D846CE" w:rsidRDefault="00BB3046">
      <w:pPr>
        <w:spacing w:line="560" w:lineRule="exact"/>
        <w:ind w:firstLineChars="200"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（二）犬伤处置门诊</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lastRenderedPageBreak/>
        <w:t>各从事犬伤处置工作的医疗机构，严格按照《陕西省卫生计生委办公室关于印发陕西省犬伤处置门诊规范化建设标准</w:t>
      </w:r>
      <w:r>
        <w:rPr>
          <w:rStyle w:val="NormalCharacter"/>
          <w:rFonts w:ascii="仿宋_GB2312" w:eastAsia="仿宋_GB2312" w:hAnsi="仿宋_GB2312" w:cs="仿宋_GB2312" w:hint="eastAsia"/>
          <w:sz w:val="32"/>
          <w:szCs w:val="32"/>
        </w:rPr>
        <w:t>(2015</w:t>
      </w:r>
      <w:r>
        <w:rPr>
          <w:rStyle w:val="NormalCharacter"/>
          <w:rFonts w:ascii="仿宋_GB2312" w:eastAsia="仿宋_GB2312" w:hAnsi="仿宋_GB2312" w:cs="仿宋_GB2312" w:hint="eastAsia"/>
          <w:sz w:val="32"/>
          <w:szCs w:val="32"/>
        </w:rPr>
        <w:t>版）的通知》（陕卫办疾控发〔</w:t>
      </w:r>
      <w:r>
        <w:rPr>
          <w:rStyle w:val="NormalCharacter"/>
          <w:rFonts w:ascii="仿宋_GB2312" w:eastAsia="仿宋_GB2312" w:hAnsi="仿宋_GB2312" w:cs="仿宋_GB2312" w:hint="eastAsia"/>
          <w:sz w:val="32"/>
          <w:szCs w:val="32"/>
        </w:rPr>
        <w:t>2015</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56</w:t>
      </w:r>
      <w:r>
        <w:rPr>
          <w:rStyle w:val="NormalCharacter"/>
          <w:rFonts w:ascii="仿宋_GB2312" w:eastAsia="仿宋_GB2312" w:hAnsi="仿宋_GB2312" w:cs="仿宋_GB2312" w:hint="eastAsia"/>
          <w:sz w:val="32"/>
          <w:szCs w:val="32"/>
        </w:rPr>
        <w:t>号）进行建设，具体标准要求如下：</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1</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房屋要求：门诊总面积大于</w:t>
      </w:r>
      <w:r>
        <w:rPr>
          <w:rStyle w:val="NormalCharacter"/>
          <w:rFonts w:ascii="仿宋_GB2312" w:eastAsia="仿宋_GB2312" w:hAnsi="仿宋_GB2312" w:cs="仿宋_GB2312" w:hint="eastAsia"/>
          <w:sz w:val="32"/>
          <w:szCs w:val="32"/>
        </w:rPr>
        <w:t>25</w:t>
      </w:r>
      <w:r>
        <w:rPr>
          <w:rStyle w:val="NormalCharacter"/>
          <w:rFonts w:ascii="仿宋_GB2312" w:eastAsia="仿宋_GB2312" w:hAnsi="仿宋_GB2312" w:cs="仿宋_GB2312" w:hint="eastAsia"/>
          <w:sz w:val="32"/>
          <w:szCs w:val="32"/>
        </w:rPr>
        <w:t>㎡，要分为五大区域，候诊区、就诊区、处置区、注射区和留观区，布局合理，并有明显标志。独立开设门诊应当具有抢救室，设在医院内的门诊应设在距医院抢救室较近处。</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2</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设施及相关物品准备：伤口处理设施、预防接种设施、冷链设施、消毒及抢救药品。</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3</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人员要求：至少配备</w:t>
      </w:r>
      <w:r>
        <w:rPr>
          <w:rStyle w:val="NormalCharacter"/>
          <w:rFonts w:ascii="仿宋_GB2312" w:eastAsia="仿宋_GB2312" w:hAnsi="仿宋_GB2312" w:cs="仿宋_GB2312" w:hint="eastAsia"/>
          <w:sz w:val="32"/>
          <w:szCs w:val="32"/>
        </w:rPr>
        <w:t>2</w:t>
      </w:r>
      <w:r>
        <w:rPr>
          <w:rStyle w:val="NormalCharacter"/>
          <w:rFonts w:ascii="仿宋_GB2312" w:eastAsia="仿宋_GB2312" w:hAnsi="仿宋_GB2312" w:cs="仿宋_GB2312" w:hint="eastAsia"/>
          <w:sz w:val="32"/>
          <w:szCs w:val="32"/>
        </w:rPr>
        <w:t>名经</w:t>
      </w:r>
      <w:r>
        <w:rPr>
          <w:rStyle w:val="NormalCharacter"/>
          <w:rFonts w:ascii="仿宋_GB2312" w:eastAsia="仿宋_GB2312" w:hAnsi="仿宋_GB2312" w:cs="仿宋_GB2312" w:hint="eastAsia"/>
          <w:sz w:val="32"/>
          <w:szCs w:val="32"/>
        </w:rPr>
        <w:t>市卫健委</w:t>
      </w:r>
      <w:r>
        <w:rPr>
          <w:rStyle w:val="NormalCharacter"/>
          <w:rFonts w:ascii="仿宋_GB2312" w:eastAsia="仿宋_GB2312" w:hAnsi="仿宋_GB2312" w:cs="仿宋_GB2312" w:hint="eastAsia"/>
          <w:sz w:val="32"/>
          <w:szCs w:val="32"/>
        </w:rPr>
        <w:t>或</w:t>
      </w:r>
      <w:r>
        <w:rPr>
          <w:rStyle w:val="NormalCharacter"/>
          <w:rFonts w:ascii="仿宋_GB2312" w:eastAsia="仿宋_GB2312" w:hAnsi="仿宋_GB2312" w:cs="仿宋_GB2312" w:hint="eastAsia"/>
          <w:sz w:val="32"/>
          <w:szCs w:val="32"/>
        </w:rPr>
        <w:t>市</w:t>
      </w:r>
      <w:r>
        <w:rPr>
          <w:rStyle w:val="NormalCharacter"/>
          <w:rFonts w:ascii="仿宋_GB2312" w:eastAsia="仿宋_GB2312" w:hAnsi="仿宋_GB2312" w:cs="仿宋_GB2312" w:hint="eastAsia"/>
          <w:sz w:val="32"/>
          <w:szCs w:val="32"/>
        </w:rPr>
        <w:t>疾控中心组织的犬伤处理和预防接种专业培训并取得上岗资格的专职工作人员，其中至少有</w:t>
      </w:r>
      <w:r>
        <w:rPr>
          <w:rStyle w:val="NormalCharacter"/>
          <w:rFonts w:ascii="仿宋_GB2312" w:eastAsia="仿宋_GB2312" w:hAnsi="仿宋_GB2312" w:cs="仿宋_GB2312" w:hint="eastAsia"/>
          <w:sz w:val="32"/>
          <w:szCs w:val="32"/>
        </w:rPr>
        <w:t>2</w:t>
      </w:r>
      <w:r>
        <w:rPr>
          <w:rStyle w:val="NormalCharacter"/>
          <w:rFonts w:ascii="仿宋_GB2312" w:eastAsia="仿宋_GB2312" w:hAnsi="仿宋_GB2312" w:cs="仿宋_GB2312" w:hint="eastAsia"/>
          <w:sz w:val="32"/>
          <w:szCs w:val="32"/>
        </w:rPr>
        <w:t>名工作人员为熟练掌握狂犬病暴露处置技术和伤口处理技巧的外科或全科医师。</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4</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处置要求：严格按照《狂犬病暴露预防处置工作规范（</w:t>
      </w:r>
      <w:r>
        <w:rPr>
          <w:rStyle w:val="NormalCharacter"/>
          <w:rFonts w:ascii="仿宋_GB2312" w:eastAsia="仿宋_GB2312" w:hAnsi="仿宋_GB2312" w:cs="仿宋_GB2312" w:hint="eastAsia"/>
          <w:sz w:val="32"/>
          <w:szCs w:val="32"/>
        </w:rPr>
        <w:t>2009</w:t>
      </w:r>
      <w:r>
        <w:rPr>
          <w:rStyle w:val="NormalCharacter"/>
          <w:rFonts w:ascii="仿宋_GB2312" w:eastAsia="仿宋_GB2312" w:hAnsi="仿宋_GB2312" w:cs="仿宋_GB2312" w:hint="eastAsia"/>
          <w:sz w:val="32"/>
          <w:szCs w:val="32"/>
        </w:rPr>
        <w:t>年版）》要求，规范开展处置工作。</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5</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资料管理：严格按照要求整理各项制度，并按时报送相关报表。</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6</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服务要求：犬伤处置门诊需提供</w:t>
      </w:r>
      <w:r>
        <w:rPr>
          <w:rStyle w:val="NormalCharacter"/>
          <w:rFonts w:ascii="仿宋_GB2312" w:eastAsia="仿宋_GB2312" w:hAnsi="仿宋_GB2312" w:cs="仿宋_GB2312" w:hint="eastAsia"/>
          <w:sz w:val="32"/>
          <w:szCs w:val="32"/>
        </w:rPr>
        <w:t>24</w:t>
      </w:r>
      <w:r>
        <w:rPr>
          <w:rStyle w:val="NormalCharacter"/>
          <w:rFonts w:ascii="仿宋_GB2312" w:eastAsia="仿宋_GB2312" w:hAnsi="仿宋_GB2312" w:cs="仿宋_GB2312" w:hint="eastAsia"/>
          <w:sz w:val="32"/>
          <w:szCs w:val="32"/>
        </w:rPr>
        <w:t>小时全天候服务，应在相应场所显著位置公示狂犬病暴露处置工作流程、接种注意事项、疫苗介绍及收费标准、咨询及投诉电话等。</w:t>
      </w:r>
    </w:p>
    <w:p w:rsidR="00D846CE" w:rsidRDefault="00BB3046">
      <w:pPr>
        <w:spacing w:line="560" w:lineRule="exact"/>
        <w:ind w:firstLineChars="200" w:firstLine="640"/>
        <w:rPr>
          <w:rStyle w:val="NormalCharacter"/>
          <w:rFonts w:ascii="黑体" w:eastAsia="黑体" w:hAnsi="黑体" w:cs="仿宋"/>
          <w:bCs/>
          <w:color w:val="000000"/>
          <w:sz w:val="32"/>
          <w:szCs w:val="32"/>
        </w:rPr>
      </w:pPr>
      <w:r>
        <w:rPr>
          <w:rStyle w:val="NormalCharacter"/>
          <w:rFonts w:ascii="黑体" w:eastAsia="黑体" w:hAnsi="黑体" w:cs="仿宋"/>
          <w:bCs/>
          <w:color w:val="000000"/>
          <w:sz w:val="32"/>
          <w:szCs w:val="32"/>
        </w:rPr>
        <w:t>五、疫苗采购</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lastRenderedPageBreak/>
        <w:t>所有疫苗的采购均应严格按照《中华人民共和国疫苗管理法》进行，免疫规划疫苗和非免疫规划疫苗分类分程序采购，采购流程规范，储存和运输严格按照标准执行。</w:t>
      </w:r>
    </w:p>
    <w:p w:rsidR="00D846CE" w:rsidRDefault="00BB3046">
      <w:pPr>
        <w:numPr>
          <w:ilvl w:val="0"/>
          <w:numId w:val="1"/>
        </w:numPr>
        <w:spacing w:line="560" w:lineRule="exact"/>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免疫规划疫苗</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免疫规划疫苗由国务院卫生健康主</w:t>
      </w:r>
      <w:r>
        <w:rPr>
          <w:rStyle w:val="NormalCharacter"/>
          <w:rFonts w:ascii="仿宋_GB2312" w:eastAsia="仿宋_GB2312" w:hAnsi="仿宋_GB2312" w:cs="仿宋_GB2312" w:hint="eastAsia"/>
          <w:sz w:val="32"/>
          <w:szCs w:val="32"/>
        </w:rPr>
        <w:t>管部门会同国务院财政部门等组织集中招标，各省统一采购，逐级下发。</w:t>
      </w:r>
    </w:p>
    <w:p w:rsidR="00D846CE" w:rsidRDefault="00BB3046">
      <w:pPr>
        <w:numPr>
          <w:ilvl w:val="0"/>
          <w:numId w:val="1"/>
        </w:numPr>
        <w:spacing w:line="560" w:lineRule="exact"/>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非免疫规划疫苗</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非免疫规划疫苗由区疾病预防控制中心通过省级公共资源交易平台进行统一采购，各预防接种门诊向区疾病预防控制中心上报其所需的疫苗种类和数量，并结算完其所申请疫苗数量的款项后，再由区疾病预防控制中进行采购和冷链配发。</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到期欠款的各预防接种门诊，区疾病预防控制中心将暂停非免疫规划疫苗的采购和配发；同时督促其尽快完成欠款的结算，待结算完成后再按照非免疫规划疫苗的采购配发程序开展后续工作。</w:t>
      </w:r>
    </w:p>
    <w:p w:rsidR="00D846CE" w:rsidRDefault="00BB3046">
      <w:pPr>
        <w:spacing w:line="560" w:lineRule="exact"/>
        <w:ind w:firstLineChars="200" w:firstLine="640"/>
        <w:rPr>
          <w:rStyle w:val="NormalCharacter"/>
          <w:rFonts w:ascii="黑体" w:eastAsia="黑体" w:hAnsi="黑体" w:cs="仿宋"/>
          <w:bCs/>
          <w:color w:val="000000"/>
          <w:sz w:val="32"/>
          <w:szCs w:val="32"/>
        </w:rPr>
      </w:pPr>
      <w:r>
        <w:rPr>
          <w:rStyle w:val="NormalCharacter"/>
          <w:rFonts w:ascii="黑体" w:eastAsia="黑体" w:hAnsi="黑体" w:cs="仿宋"/>
          <w:bCs/>
          <w:color w:val="000000"/>
          <w:sz w:val="32"/>
          <w:szCs w:val="32"/>
        </w:rPr>
        <w:t>六、管理要求</w:t>
      </w:r>
    </w:p>
    <w:p w:rsidR="00D846CE" w:rsidRDefault="00BB3046">
      <w:pPr>
        <w:spacing w:line="560" w:lineRule="exact"/>
        <w:ind w:firstLineChars="200"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（一）严格人员管理</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预防接种单位聘用</w:t>
      </w:r>
      <w:r>
        <w:rPr>
          <w:rStyle w:val="NormalCharacter"/>
          <w:rFonts w:ascii="仿宋_GB2312" w:eastAsia="仿宋_GB2312" w:hAnsi="仿宋_GB2312" w:cs="仿宋_GB2312" w:hint="eastAsia"/>
          <w:sz w:val="32"/>
          <w:szCs w:val="32"/>
        </w:rPr>
        <w:t>临时工作人员时，应当签订三年以上用工合同，以保证聘用人员工作岗位相对固定，工资报酬相对合理。区卫健局每年对辖区预防接种单位、接种人员、犬伤门诊、犬伤门诊相关工作人员进行复核。完善接种人员培训制度，考核合格后方可上岗，对年度考核不合格或出现事故者取消其接种资质。</w:t>
      </w:r>
    </w:p>
    <w:p w:rsidR="00D846CE" w:rsidRDefault="00BB3046">
      <w:pPr>
        <w:spacing w:line="560" w:lineRule="exact"/>
        <w:ind w:firstLineChars="200"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（二）规范冷链管理</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lastRenderedPageBreak/>
        <w:t>各预防接种单位要及时更新、配备冷链运转设备设施，确保医用冰箱和冷藏箱等冷链能满足工作需求，所有接种门诊发电设备必须配备到位。严格按照《疫苗储存和运输管理条例》执行疫苗冷链管理流程，确保疫苗规范管理，强化疫苗购进入库、储存、冷链运转</w:t>
      </w:r>
      <w:r>
        <w:rPr>
          <w:rStyle w:val="NormalCharacter"/>
          <w:rFonts w:ascii="仿宋_GB2312" w:eastAsia="仿宋_GB2312" w:hAnsi="仿宋_GB2312" w:cs="仿宋_GB2312" w:hint="eastAsia"/>
          <w:sz w:val="32"/>
          <w:szCs w:val="32"/>
        </w:rPr>
        <w:t>、分发出库等关键环节和重点部位管理，所有冷链设备安装自动测温报警设备，落实疫苗运输、储存全过程温度记录要求。</w:t>
      </w:r>
    </w:p>
    <w:p w:rsidR="00D846CE" w:rsidRDefault="00BB3046">
      <w:pPr>
        <w:spacing w:line="560" w:lineRule="exact"/>
        <w:ind w:firstLineChars="200"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（三）严格疫苗管理</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严格落实《中华人民共和国疫苗管理法》和《预防接种工作规范（</w:t>
      </w:r>
      <w:r>
        <w:rPr>
          <w:rStyle w:val="NormalCharacter"/>
          <w:rFonts w:ascii="仿宋_GB2312" w:eastAsia="仿宋_GB2312" w:hAnsi="仿宋_GB2312" w:cs="仿宋_GB2312" w:hint="eastAsia"/>
          <w:sz w:val="32"/>
          <w:szCs w:val="32"/>
        </w:rPr>
        <w:t>2016</w:t>
      </w:r>
      <w:r>
        <w:rPr>
          <w:rStyle w:val="NormalCharacter"/>
          <w:rFonts w:ascii="仿宋_GB2312" w:eastAsia="仿宋_GB2312" w:hAnsi="仿宋_GB2312" w:cs="仿宋_GB2312" w:hint="eastAsia"/>
          <w:sz w:val="32"/>
          <w:szCs w:val="32"/>
        </w:rPr>
        <w:t>年版）》。疫苗出入库时，要坚持疫苗“先入库先出库”、“先使用近效期后使用远效期”和分类存放的原则；接种疫苗时，严格落实“三查七对一验证”制度；疫苗报废要逐级上报，报废疫苗统一回收至区疾病预防控制中心，在区市场监督管理局和区卫生健康局监督下送达有资质的医废公司统一销毁。</w:t>
      </w:r>
    </w:p>
    <w:p w:rsidR="00D846CE" w:rsidRDefault="00BB3046">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为确保非免疫规划疫苗的采购和供应，各预防接种单</w:t>
      </w:r>
      <w:r>
        <w:rPr>
          <w:rStyle w:val="NormalCharacter"/>
          <w:rFonts w:ascii="仿宋_GB2312" w:eastAsia="仿宋_GB2312" w:hAnsi="仿宋_GB2312" w:cs="仿宋_GB2312" w:hint="eastAsia"/>
          <w:sz w:val="32"/>
          <w:szCs w:val="32"/>
        </w:rPr>
        <w:t>位按月合理进行疫苗预算，将需要购进的非免疫规划疫苗款项进行结款后方可发放，坚决杜绝拖欠疫苗款的情况发生。</w:t>
      </w:r>
    </w:p>
    <w:p w:rsidR="00D846CE" w:rsidRDefault="00BB3046">
      <w:pPr>
        <w:spacing w:line="560" w:lineRule="exact"/>
        <w:ind w:firstLineChars="200"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（四）规范犬伤处置</w:t>
      </w:r>
    </w:p>
    <w:p w:rsidR="00D846CE" w:rsidRDefault="00BB3046">
      <w:pPr>
        <w:spacing w:line="560" w:lineRule="exact"/>
        <w:ind w:firstLineChars="200" w:firstLine="640"/>
        <w:rPr>
          <w:rStyle w:val="NormalCharacter"/>
          <w:rFonts w:ascii="仿宋" w:eastAsia="仿宋" w:hAnsi="仿宋"/>
          <w:sz w:val="32"/>
          <w:szCs w:val="32"/>
        </w:rPr>
      </w:pPr>
      <w:r>
        <w:rPr>
          <w:rStyle w:val="NormalCharacter"/>
          <w:rFonts w:ascii="仿宋_GB2312" w:eastAsia="仿宋_GB2312" w:hAnsi="仿宋_GB2312" w:cs="仿宋_GB2312" w:hint="eastAsia"/>
          <w:sz w:val="32"/>
          <w:szCs w:val="32"/>
        </w:rPr>
        <w:t>各犬伤处置门诊应按照《狂犬病暴露预防处置工作规范（</w:t>
      </w:r>
      <w:r>
        <w:rPr>
          <w:rStyle w:val="NormalCharacter"/>
          <w:rFonts w:ascii="仿宋_GB2312" w:eastAsia="仿宋_GB2312" w:hAnsi="仿宋_GB2312" w:cs="仿宋_GB2312" w:hint="eastAsia"/>
          <w:sz w:val="32"/>
          <w:szCs w:val="32"/>
        </w:rPr>
        <w:t>2009</w:t>
      </w:r>
      <w:r>
        <w:rPr>
          <w:rStyle w:val="NormalCharacter"/>
          <w:rFonts w:ascii="仿宋_GB2312" w:eastAsia="仿宋_GB2312" w:hAnsi="仿宋_GB2312" w:cs="仿宋_GB2312" w:hint="eastAsia"/>
          <w:sz w:val="32"/>
          <w:szCs w:val="32"/>
        </w:rPr>
        <w:t>年版）》要求，规范开展处置工作，同时按照《陕西省卫生计生委办公室关于印发陕西省犬伤处置门诊规范化建设标准</w:t>
      </w:r>
      <w:r>
        <w:rPr>
          <w:rStyle w:val="NormalCharacter"/>
          <w:rFonts w:ascii="仿宋_GB2312" w:eastAsia="仿宋_GB2312" w:hAnsi="仿宋_GB2312" w:cs="仿宋_GB2312" w:hint="eastAsia"/>
          <w:sz w:val="32"/>
          <w:szCs w:val="32"/>
        </w:rPr>
        <w:t>(2015</w:t>
      </w:r>
      <w:r>
        <w:rPr>
          <w:rStyle w:val="NormalCharacter"/>
          <w:rFonts w:ascii="仿宋_GB2312" w:eastAsia="仿宋_GB2312" w:hAnsi="仿宋_GB2312" w:cs="仿宋_GB2312" w:hint="eastAsia"/>
          <w:sz w:val="32"/>
          <w:szCs w:val="32"/>
        </w:rPr>
        <w:t>版）的通知》（陕卫办疾控发〔</w:t>
      </w:r>
      <w:r>
        <w:rPr>
          <w:rStyle w:val="NormalCharacter"/>
          <w:rFonts w:ascii="仿宋_GB2312" w:eastAsia="仿宋_GB2312" w:hAnsi="仿宋_GB2312" w:cs="仿宋_GB2312" w:hint="eastAsia"/>
          <w:sz w:val="32"/>
          <w:szCs w:val="32"/>
        </w:rPr>
        <w:t>2015</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56</w:t>
      </w:r>
      <w:r>
        <w:rPr>
          <w:rStyle w:val="NormalCharacter"/>
          <w:rFonts w:ascii="仿宋_GB2312" w:eastAsia="仿宋_GB2312" w:hAnsi="仿宋_GB2312" w:cs="仿宋_GB2312" w:hint="eastAsia"/>
          <w:sz w:val="32"/>
          <w:szCs w:val="32"/>
        </w:rPr>
        <w:t>号）要求，加强人员管理、建立健全各项规章制度、切实落实工作职责，做好犬伤处置各项工作。</w:t>
      </w:r>
    </w:p>
    <w:p w:rsidR="00D846CE" w:rsidRDefault="00BB3046">
      <w:pPr>
        <w:spacing w:line="560" w:lineRule="exact"/>
        <w:ind w:firstLineChars="200" w:firstLine="640"/>
        <w:rPr>
          <w:rStyle w:val="NormalCharacter"/>
          <w:rFonts w:ascii="黑体" w:eastAsia="黑体" w:hAnsi="黑体" w:cs="仿宋"/>
          <w:bCs/>
          <w:color w:val="000000"/>
          <w:sz w:val="32"/>
          <w:szCs w:val="32"/>
        </w:rPr>
      </w:pPr>
      <w:r>
        <w:rPr>
          <w:rStyle w:val="NormalCharacter"/>
          <w:rFonts w:ascii="黑体" w:eastAsia="黑体" w:hAnsi="黑体" w:cs="仿宋"/>
          <w:bCs/>
          <w:color w:val="000000"/>
          <w:sz w:val="32"/>
          <w:szCs w:val="32"/>
        </w:rPr>
        <w:lastRenderedPageBreak/>
        <w:t>七、监管机制</w:t>
      </w:r>
    </w:p>
    <w:p w:rsidR="00D846CE" w:rsidRDefault="00BB3046">
      <w:pPr>
        <w:spacing w:line="560" w:lineRule="exact"/>
        <w:ind w:firstLineChars="200"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（一）强化责任追究</w:t>
      </w:r>
    </w:p>
    <w:p w:rsidR="00D846CE" w:rsidRDefault="00BB3046">
      <w:pPr>
        <w:spacing w:line="560" w:lineRule="exact"/>
        <w:ind w:firstLineChars="200" w:firstLine="640"/>
        <w:rPr>
          <w:rStyle w:val="NormalCharacter"/>
          <w:rFonts w:ascii="仿宋_GB2312" w:eastAsia="仿宋_GB2312" w:hAnsi="仿宋_GB2312" w:cs="仿宋_GB2312"/>
          <w:bCs/>
          <w:color w:val="000000"/>
          <w:sz w:val="32"/>
          <w:szCs w:val="32"/>
        </w:rPr>
      </w:pPr>
      <w:r>
        <w:rPr>
          <w:rStyle w:val="NormalCharacter"/>
          <w:rFonts w:ascii="仿宋_GB2312" w:eastAsia="仿宋_GB2312" w:hAnsi="仿宋_GB2312" w:cs="仿宋_GB2312" w:hint="eastAsia"/>
          <w:bCs/>
          <w:color w:val="000000"/>
          <w:sz w:val="32"/>
          <w:szCs w:val="32"/>
        </w:rPr>
        <w:t>区疾病预防控制中心要加强对辖区预防接种单位、犬伤处置门诊的技术指导，对接种服务不规范、群众满意度不高、考核不达标的接种门诊、犬伤处置门诊要限期整改。区卫生监督所要加强对接种门诊、犬伤处置门诊的监督管理，切实履行监管职责，对限期整改不到位的，追究相关单位和人员责任。各预防接种单位要严格按照《疫苗管理法》、《预防接种工作规范》、《狂犬病暴露预防处置工作规范》等法律法规开展预防接种、犬伤处置工作。对在疫苗使用和预防接种管理工作中，因工作责任心不强，导致工作失误和差错，造成严重影响的；对违反疫苗使用管理法律法规，造</w:t>
      </w:r>
      <w:r>
        <w:rPr>
          <w:rStyle w:val="NormalCharacter"/>
          <w:rFonts w:ascii="仿宋_GB2312" w:eastAsia="仿宋_GB2312" w:hAnsi="仿宋_GB2312" w:cs="仿宋_GB2312" w:hint="eastAsia"/>
          <w:bCs/>
          <w:color w:val="000000"/>
          <w:sz w:val="32"/>
          <w:szCs w:val="32"/>
        </w:rPr>
        <w:t>成受种者人身伤害、传染病传播、流行或者其他严重后果的；对不按照规范要求进行犬伤处置造成受种者人身伤害、传染病传播、流行或者其他严重后果的将依法依规追究直接责任人、主要负责人责任。</w:t>
      </w:r>
    </w:p>
    <w:p w:rsidR="00D846CE" w:rsidRDefault="00BB3046">
      <w:pPr>
        <w:spacing w:line="560" w:lineRule="exact"/>
        <w:ind w:firstLineChars="200" w:firstLine="640"/>
        <w:rPr>
          <w:rStyle w:val="NormalCharacter"/>
          <w:rFonts w:ascii="楷体_GB2312" w:eastAsia="楷体_GB2312" w:hAnsi="楷体_GB2312" w:cs="楷体_GB2312"/>
          <w:bCs/>
          <w:color w:val="000000"/>
          <w:sz w:val="32"/>
          <w:szCs w:val="32"/>
        </w:rPr>
      </w:pPr>
      <w:r>
        <w:rPr>
          <w:rStyle w:val="NormalCharacter"/>
          <w:rFonts w:ascii="楷体_GB2312" w:eastAsia="楷体_GB2312" w:hAnsi="楷体_GB2312" w:cs="楷体_GB2312" w:hint="eastAsia"/>
          <w:bCs/>
          <w:color w:val="000000"/>
          <w:sz w:val="32"/>
          <w:szCs w:val="32"/>
        </w:rPr>
        <w:t>（二）落实退出机制</w:t>
      </w:r>
    </w:p>
    <w:p w:rsidR="00D846CE" w:rsidRDefault="00BB3046">
      <w:pPr>
        <w:spacing w:line="560" w:lineRule="exact"/>
        <w:ind w:firstLineChars="200" w:firstLine="640"/>
        <w:rPr>
          <w:rStyle w:val="NormalCharacter"/>
          <w:rFonts w:ascii="仿宋_GB2312" w:eastAsia="仿宋_GB2312" w:hAnsi="仿宋_GB2312" w:cs="仿宋_GB2312"/>
          <w:bCs/>
          <w:sz w:val="32"/>
          <w:szCs w:val="32"/>
        </w:rPr>
      </w:pPr>
      <w:r>
        <w:rPr>
          <w:rStyle w:val="NormalCharacter"/>
          <w:rFonts w:ascii="仿宋_GB2312" w:eastAsia="仿宋_GB2312" w:hAnsi="仿宋_GB2312" w:cs="仿宋_GB2312" w:hint="eastAsia"/>
          <w:bCs/>
          <w:sz w:val="32"/>
          <w:szCs w:val="32"/>
        </w:rPr>
        <w:t>加强对预防接种单位、犬伤处置门诊的监督考核，对预防接种门诊面积、人员数量、人员资质、数字化门诊建设、犬伤处置门诊标准化建设硬件和软件等工作要求不达标，不能规范开展预防接种、犬伤处置工作的单位，严格按照《雁塔区免疫规划管理工作考核办法（暂行）》要求执行。</w:t>
      </w:r>
      <w:r>
        <w:rPr>
          <w:rStyle w:val="NormalCharacter"/>
          <w:rFonts w:ascii="仿宋_GB2312" w:eastAsia="仿宋_GB2312" w:hAnsi="仿宋_GB2312" w:cs="仿宋_GB2312" w:hint="eastAsia"/>
          <w:bCs/>
          <w:sz w:val="32"/>
          <w:szCs w:val="32"/>
        </w:rPr>
        <w:t xml:space="preserve"> </w:t>
      </w:r>
    </w:p>
    <w:p w:rsidR="00D846CE" w:rsidRDefault="00BB3046">
      <w:pPr>
        <w:spacing w:line="560" w:lineRule="exact"/>
        <w:ind w:firstLineChars="200" w:firstLine="640"/>
        <w:rPr>
          <w:rStyle w:val="NormalCharacter"/>
          <w:rFonts w:ascii="楷体_GB2312" w:eastAsia="楷体_GB2312" w:hAnsi="楷体_GB2312" w:cs="楷体_GB2312"/>
          <w:bCs/>
          <w:color w:val="000000"/>
          <w:sz w:val="32"/>
          <w:szCs w:val="32"/>
        </w:rPr>
      </w:pPr>
      <w:r>
        <w:rPr>
          <w:rStyle w:val="NormalCharacter"/>
          <w:rFonts w:ascii="楷体_GB2312" w:eastAsia="楷体_GB2312" w:hAnsi="楷体_GB2312" w:cs="楷体_GB2312" w:hint="eastAsia"/>
          <w:bCs/>
          <w:color w:val="000000"/>
          <w:sz w:val="32"/>
          <w:szCs w:val="32"/>
        </w:rPr>
        <w:t>（三）提高接种服务</w:t>
      </w:r>
      <w:r>
        <w:rPr>
          <w:rStyle w:val="NormalCharacter"/>
          <w:rFonts w:ascii="楷体_GB2312" w:eastAsia="楷体_GB2312" w:hAnsi="楷体_GB2312" w:cs="楷体_GB2312" w:hint="eastAsia"/>
          <w:bCs/>
          <w:color w:val="000000"/>
          <w:sz w:val="32"/>
          <w:szCs w:val="32"/>
        </w:rPr>
        <w:t xml:space="preserve"> </w:t>
      </w:r>
    </w:p>
    <w:p w:rsidR="00D846CE" w:rsidRDefault="00BB3046">
      <w:pPr>
        <w:spacing w:line="560" w:lineRule="exact"/>
        <w:ind w:firstLineChars="200" w:firstLine="640"/>
        <w:rPr>
          <w:rStyle w:val="NormalCharacter"/>
          <w:rFonts w:ascii="仿宋_GB2312" w:eastAsia="仿宋_GB2312" w:hAnsi="仿宋_GB2312" w:cs="仿宋_GB2312"/>
          <w:bCs/>
          <w:color w:val="000000"/>
          <w:sz w:val="32"/>
          <w:szCs w:val="32"/>
        </w:rPr>
      </w:pPr>
      <w:r>
        <w:rPr>
          <w:rStyle w:val="NormalCharacter"/>
          <w:rFonts w:ascii="仿宋_GB2312" w:eastAsia="仿宋_GB2312" w:hAnsi="仿宋_GB2312" w:cs="仿宋_GB2312" w:hint="eastAsia"/>
          <w:bCs/>
          <w:color w:val="000000"/>
          <w:sz w:val="32"/>
          <w:szCs w:val="32"/>
        </w:rPr>
        <w:t>在全区范围内持续开展提高预防接种服务、提升犬伤处置门诊能力专项活动，重点解决预防接种、犬伤处置工作中服务意识</w:t>
      </w:r>
      <w:r>
        <w:rPr>
          <w:rStyle w:val="NormalCharacter"/>
          <w:rFonts w:ascii="仿宋_GB2312" w:eastAsia="仿宋_GB2312" w:hAnsi="仿宋_GB2312" w:cs="仿宋_GB2312" w:hint="eastAsia"/>
          <w:bCs/>
          <w:color w:val="000000"/>
          <w:sz w:val="32"/>
          <w:szCs w:val="32"/>
        </w:rPr>
        <w:lastRenderedPageBreak/>
        <w:t>淡漠、服务质量不高等问题，大力弘扬职业精神，规范接种服务行为、犬伤处置措施，改善服务质量，提高服务水平，确保预防接种和犬伤处置工作安全、规范、有序进行。</w:t>
      </w:r>
    </w:p>
    <w:p w:rsidR="00D846CE" w:rsidRDefault="00D846CE">
      <w:pPr>
        <w:spacing w:line="560" w:lineRule="exact"/>
        <w:rPr>
          <w:rStyle w:val="NormalCharacter"/>
          <w:rFonts w:ascii="仿宋_GB2312" w:eastAsia="仿宋_GB2312" w:hAnsi="仿宋_GB2312" w:cs="仿宋_GB2312"/>
          <w:bCs/>
          <w:color w:val="000000"/>
          <w:sz w:val="32"/>
          <w:szCs w:val="32"/>
        </w:rPr>
      </w:pPr>
    </w:p>
    <w:p w:rsidR="00D846CE" w:rsidRDefault="00D846CE">
      <w:pPr>
        <w:spacing w:line="560" w:lineRule="exact"/>
        <w:rPr>
          <w:rStyle w:val="NormalCharacter"/>
          <w:rFonts w:ascii="仿宋_GB2312" w:eastAsia="仿宋_GB2312" w:hAnsi="仿宋_GB2312" w:cs="仿宋_GB2312"/>
          <w:bCs/>
          <w:color w:val="000000"/>
          <w:sz w:val="32"/>
          <w:szCs w:val="32"/>
        </w:rPr>
      </w:pPr>
    </w:p>
    <w:p w:rsidR="00D846CE" w:rsidRDefault="00D846CE">
      <w:pPr>
        <w:spacing w:line="560" w:lineRule="exact"/>
        <w:rPr>
          <w:rStyle w:val="NormalCharacter"/>
          <w:rFonts w:ascii="黑体" w:eastAsia="黑体" w:hAnsi="黑体"/>
          <w:kern w:val="0"/>
          <w:sz w:val="30"/>
          <w:szCs w:val="30"/>
        </w:rPr>
      </w:pPr>
      <w:bookmarkStart w:id="1" w:name="_GoBack"/>
      <w:bookmarkEnd w:id="1"/>
    </w:p>
    <w:sectPr w:rsidR="00D846CE" w:rsidSect="00B84C09">
      <w:footerReference w:type="default" r:id="rId8"/>
      <w:pgSz w:w="11906" w:h="16838" w:orient="landscape"/>
      <w:pgMar w:top="1701" w:right="1304" w:bottom="1417"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046" w:rsidRDefault="00BB3046" w:rsidP="00D846CE">
      <w:r>
        <w:separator/>
      </w:r>
    </w:p>
  </w:endnote>
  <w:endnote w:type="continuationSeparator" w:id="1">
    <w:p w:rsidR="00BB3046" w:rsidRDefault="00BB3046" w:rsidP="00D84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6CE" w:rsidRDefault="00D846CE">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next-textbox:#_x0000_s4097;mso-fit-shape-to-text:t" inset="0,0,0,0">
            <w:txbxContent>
              <w:p w:rsidR="00D846CE" w:rsidRDefault="00D846CE">
                <w:pPr>
                  <w:pStyle w:val="a4"/>
                </w:pPr>
                <w:r>
                  <w:fldChar w:fldCharType="begin"/>
                </w:r>
                <w:r w:rsidR="00BB3046">
                  <w:instrText xml:space="preserve"> PAGE  \* MERGEFORMAT </w:instrText>
                </w:r>
                <w:r>
                  <w:fldChar w:fldCharType="separate"/>
                </w:r>
                <w:r w:rsidR="00B84C09">
                  <w:rPr>
                    <w:noProof/>
                  </w:rPr>
                  <w:t>- 6 -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046" w:rsidRDefault="00BB3046" w:rsidP="00D846CE">
      <w:r>
        <w:separator/>
      </w:r>
    </w:p>
  </w:footnote>
  <w:footnote w:type="continuationSeparator" w:id="1">
    <w:p w:rsidR="00BB3046" w:rsidRDefault="00BB3046" w:rsidP="00D846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306F8"/>
    <w:multiLevelType w:val="multilevel"/>
    <w:tmpl w:val="3CF306F8"/>
    <w:lvl w:ilvl="0">
      <w:start w:val="1"/>
      <w:numFmt w:val="japaneseCounting"/>
      <w:lvlText w:val="（%1）"/>
      <w:lvlJc w:val="left"/>
      <w:pPr>
        <w:widowControl/>
        <w:ind w:left="1720" w:hanging="1080"/>
        <w:textAlignment w:val="baseline"/>
      </w:pPr>
    </w:lvl>
    <w:lvl w:ilvl="1">
      <w:start w:val="1"/>
      <w:numFmt w:val="lowerLetter"/>
      <w:lvlText w:val="%1)"/>
      <w:lvlJc w:val="left"/>
      <w:pPr>
        <w:widowControl/>
        <w:ind w:left="1480" w:hanging="420"/>
        <w:textAlignment w:val="baseline"/>
      </w:pPr>
    </w:lvl>
    <w:lvl w:ilvl="2">
      <w:start w:val="1"/>
      <w:numFmt w:val="lowerRoman"/>
      <w:lvlText w:val="%1."/>
      <w:lvlJc w:val="right"/>
      <w:pPr>
        <w:widowControl/>
        <w:ind w:left="1900" w:hanging="420"/>
        <w:textAlignment w:val="baseline"/>
      </w:pPr>
    </w:lvl>
    <w:lvl w:ilvl="3">
      <w:start w:val="1"/>
      <w:numFmt w:val="decimal"/>
      <w:lvlText w:val="%1."/>
      <w:lvlJc w:val="left"/>
      <w:pPr>
        <w:widowControl/>
        <w:ind w:left="2320" w:hanging="420"/>
        <w:textAlignment w:val="baseline"/>
      </w:pPr>
    </w:lvl>
    <w:lvl w:ilvl="4">
      <w:start w:val="1"/>
      <w:numFmt w:val="lowerLetter"/>
      <w:lvlText w:val="%1)"/>
      <w:lvlJc w:val="left"/>
      <w:pPr>
        <w:widowControl/>
        <w:ind w:left="2740" w:hanging="420"/>
        <w:textAlignment w:val="baseline"/>
      </w:pPr>
    </w:lvl>
    <w:lvl w:ilvl="5">
      <w:start w:val="1"/>
      <w:numFmt w:val="lowerRoman"/>
      <w:lvlText w:val="%1."/>
      <w:lvlJc w:val="right"/>
      <w:pPr>
        <w:widowControl/>
        <w:ind w:left="3160" w:hanging="420"/>
        <w:textAlignment w:val="baseline"/>
      </w:pPr>
    </w:lvl>
    <w:lvl w:ilvl="6">
      <w:start w:val="1"/>
      <w:numFmt w:val="decimal"/>
      <w:lvlText w:val="%1."/>
      <w:lvlJc w:val="left"/>
      <w:pPr>
        <w:widowControl/>
        <w:ind w:left="3580" w:hanging="420"/>
        <w:textAlignment w:val="baseline"/>
      </w:pPr>
    </w:lvl>
    <w:lvl w:ilvl="7">
      <w:start w:val="1"/>
      <w:numFmt w:val="lowerLetter"/>
      <w:lvlText w:val="%1)"/>
      <w:lvlJc w:val="left"/>
      <w:pPr>
        <w:widowControl/>
        <w:ind w:left="4000" w:hanging="420"/>
        <w:textAlignment w:val="baseline"/>
      </w:pPr>
    </w:lvl>
    <w:lvl w:ilvl="8">
      <w:start w:val="1"/>
      <w:numFmt w:val="lowerRoman"/>
      <w:lvlText w:val="%1."/>
      <w:lvlJc w:val="right"/>
      <w:pPr>
        <w:widowControl/>
        <w:ind w:left="4420" w:hanging="420"/>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6146"/>
    <o:shapelayout v:ext="edit">
      <o:idmap v:ext="edit" data="3,4"/>
    </o:shapelayout>
  </w:hdrShapeDefaults>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E65898"/>
    <w:rsid w:val="000A5AB6"/>
    <w:rsid w:val="00166740"/>
    <w:rsid w:val="001B2A9F"/>
    <w:rsid w:val="0029315D"/>
    <w:rsid w:val="0033684C"/>
    <w:rsid w:val="0036533A"/>
    <w:rsid w:val="00383A9D"/>
    <w:rsid w:val="0045646D"/>
    <w:rsid w:val="004A0C6C"/>
    <w:rsid w:val="004A7D27"/>
    <w:rsid w:val="0054740F"/>
    <w:rsid w:val="00583451"/>
    <w:rsid w:val="006A166F"/>
    <w:rsid w:val="006B6FAB"/>
    <w:rsid w:val="007E04ED"/>
    <w:rsid w:val="00803023"/>
    <w:rsid w:val="008C12BF"/>
    <w:rsid w:val="00922CAB"/>
    <w:rsid w:val="00951442"/>
    <w:rsid w:val="00A83BC1"/>
    <w:rsid w:val="00AD00E0"/>
    <w:rsid w:val="00B527B9"/>
    <w:rsid w:val="00B84C09"/>
    <w:rsid w:val="00BB0278"/>
    <w:rsid w:val="00BB3046"/>
    <w:rsid w:val="00CB29EF"/>
    <w:rsid w:val="00D846CE"/>
    <w:rsid w:val="00DE342D"/>
    <w:rsid w:val="00E01B5D"/>
    <w:rsid w:val="00E14CEB"/>
    <w:rsid w:val="00E65898"/>
    <w:rsid w:val="00F84E37"/>
    <w:rsid w:val="0E9963BE"/>
    <w:rsid w:val="11AF5812"/>
    <w:rsid w:val="1372366F"/>
    <w:rsid w:val="2187011C"/>
    <w:rsid w:val="32020EF4"/>
    <w:rsid w:val="3D8F6B47"/>
    <w:rsid w:val="3DB8032D"/>
    <w:rsid w:val="6C1937C2"/>
    <w:rsid w:val="70E011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6CE"/>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D846CE"/>
    <w:pPr>
      <w:spacing w:line="579" w:lineRule="exact"/>
      <w:ind w:leftChars="2500" w:left="100"/>
    </w:pPr>
    <w:rPr>
      <w:rFonts w:eastAsia="仿宋_GB2312"/>
      <w:sz w:val="32"/>
    </w:rPr>
  </w:style>
  <w:style w:type="paragraph" w:styleId="a4">
    <w:name w:val="footer"/>
    <w:basedOn w:val="a"/>
    <w:link w:val="Char0"/>
    <w:qFormat/>
    <w:rsid w:val="00D846CE"/>
    <w:pPr>
      <w:tabs>
        <w:tab w:val="center" w:pos="4153"/>
        <w:tab w:val="right" w:pos="8306"/>
      </w:tabs>
      <w:snapToGrid w:val="0"/>
      <w:jc w:val="left"/>
    </w:pPr>
    <w:rPr>
      <w:sz w:val="18"/>
      <w:szCs w:val="18"/>
    </w:rPr>
  </w:style>
  <w:style w:type="paragraph" w:styleId="a5">
    <w:name w:val="header"/>
    <w:basedOn w:val="a"/>
    <w:link w:val="Char1"/>
    <w:qFormat/>
    <w:rsid w:val="00D846CE"/>
    <w:pPr>
      <w:pBdr>
        <w:bottom w:val="single" w:sz="6" w:space="1" w:color="000000"/>
      </w:pBdr>
      <w:tabs>
        <w:tab w:val="center" w:pos="4153"/>
        <w:tab w:val="right" w:pos="8306"/>
      </w:tabs>
      <w:snapToGrid w:val="0"/>
      <w:jc w:val="center"/>
    </w:pPr>
    <w:rPr>
      <w:sz w:val="18"/>
      <w:szCs w:val="18"/>
    </w:rPr>
  </w:style>
  <w:style w:type="character" w:styleId="a6">
    <w:name w:val="Strong"/>
    <w:qFormat/>
    <w:rsid w:val="00D846CE"/>
    <w:rPr>
      <w:rFonts w:cs="Times New Roman"/>
      <w:b/>
      <w:bCs/>
    </w:rPr>
  </w:style>
  <w:style w:type="character" w:customStyle="1" w:styleId="NormalCharacter">
    <w:name w:val="NormalCharacter"/>
    <w:qFormat/>
    <w:rsid w:val="00D846CE"/>
  </w:style>
  <w:style w:type="table" w:customStyle="1" w:styleId="TableNormal">
    <w:name w:val="TableNormal"/>
    <w:qFormat/>
    <w:rsid w:val="00D846CE"/>
    <w:tblPr>
      <w:tblCellMar>
        <w:top w:w="0" w:type="dxa"/>
        <w:left w:w="0" w:type="dxa"/>
        <w:bottom w:w="0" w:type="dxa"/>
        <w:right w:w="0" w:type="dxa"/>
      </w:tblCellMar>
    </w:tblPr>
  </w:style>
  <w:style w:type="character" w:customStyle="1" w:styleId="Char1">
    <w:name w:val="页眉 Char"/>
    <w:link w:val="a5"/>
    <w:qFormat/>
    <w:rsid w:val="00D846CE"/>
    <w:rPr>
      <w:kern w:val="2"/>
      <w:sz w:val="18"/>
      <w:szCs w:val="18"/>
    </w:rPr>
  </w:style>
  <w:style w:type="character" w:customStyle="1" w:styleId="UserStyle1">
    <w:name w:val="UserStyle_1"/>
    <w:link w:val="BodyTextIndent2"/>
    <w:semiHidden/>
    <w:qFormat/>
    <w:rsid w:val="00D846CE"/>
    <w:rPr>
      <w:rFonts w:ascii="Times New Roman" w:eastAsia="仿宋_GB2312" w:hAnsi="Times New Roman"/>
      <w:kern w:val="2"/>
      <w:sz w:val="32"/>
      <w:szCs w:val="22"/>
    </w:rPr>
  </w:style>
  <w:style w:type="paragraph" w:customStyle="1" w:styleId="BodyTextIndent2">
    <w:name w:val="BodyTextIndent2"/>
    <w:basedOn w:val="a"/>
    <w:link w:val="UserStyle1"/>
    <w:qFormat/>
    <w:rsid w:val="00D846CE"/>
    <w:pPr>
      <w:spacing w:after="120" w:line="480" w:lineRule="auto"/>
      <w:ind w:leftChars="200" w:left="420"/>
    </w:pPr>
    <w:rPr>
      <w:rFonts w:eastAsia="仿宋_GB2312"/>
      <w:sz w:val="32"/>
    </w:rPr>
  </w:style>
  <w:style w:type="character" w:customStyle="1" w:styleId="UserStyle2">
    <w:name w:val="UserStyle_2"/>
    <w:link w:val="Acetate"/>
    <w:semiHidden/>
    <w:qFormat/>
    <w:rsid w:val="00D846CE"/>
    <w:rPr>
      <w:rFonts w:ascii="Times New Roman" w:eastAsia="仿宋_GB2312" w:hAnsi="Times New Roman"/>
      <w:kern w:val="2"/>
      <w:sz w:val="18"/>
      <w:szCs w:val="18"/>
    </w:rPr>
  </w:style>
  <w:style w:type="paragraph" w:customStyle="1" w:styleId="Acetate">
    <w:name w:val="Acetate"/>
    <w:basedOn w:val="a"/>
    <w:link w:val="UserStyle2"/>
    <w:qFormat/>
    <w:rsid w:val="00D846CE"/>
    <w:rPr>
      <w:rFonts w:eastAsia="仿宋_GB2312"/>
      <w:sz w:val="18"/>
      <w:szCs w:val="18"/>
    </w:rPr>
  </w:style>
  <w:style w:type="character" w:customStyle="1" w:styleId="Char0">
    <w:name w:val="页脚 Char"/>
    <w:link w:val="a4"/>
    <w:qFormat/>
    <w:rsid w:val="00D846CE"/>
    <w:rPr>
      <w:kern w:val="2"/>
      <w:sz w:val="18"/>
      <w:szCs w:val="18"/>
    </w:rPr>
  </w:style>
  <w:style w:type="character" w:customStyle="1" w:styleId="UserStyle4">
    <w:name w:val="UserStyle_4"/>
    <w:link w:val="BodyText"/>
    <w:qFormat/>
    <w:rsid w:val="00D846CE"/>
    <w:rPr>
      <w:rFonts w:ascii="Times New Roman" w:hAnsi="Times New Roman"/>
      <w:kern w:val="2"/>
      <w:sz w:val="21"/>
      <w:szCs w:val="24"/>
    </w:rPr>
  </w:style>
  <w:style w:type="paragraph" w:customStyle="1" w:styleId="BodyText">
    <w:name w:val="BodyText"/>
    <w:basedOn w:val="a"/>
    <w:link w:val="UserStyle4"/>
    <w:qFormat/>
    <w:rsid w:val="00D846CE"/>
    <w:pPr>
      <w:spacing w:after="120"/>
    </w:pPr>
    <w:rPr>
      <w:szCs w:val="24"/>
    </w:rPr>
  </w:style>
  <w:style w:type="character" w:customStyle="1" w:styleId="Char">
    <w:name w:val="日期 Char"/>
    <w:link w:val="a3"/>
    <w:semiHidden/>
    <w:qFormat/>
    <w:rsid w:val="00D846CE"/>
    <w:rPr>
      <w:rFonts w:ascii="Times New Roman" w:eastAsia="仿宋_GB2312" w:hAnsi="Times New Roman"/>
      <w:kern w:val="2"/>
      <w:sz w:val="32"/>
      <w:szCs w:val="22"/>
    </w:rPr>
  </w:style>
  <w:style w:type="paragraph" w:customStyle="1" w:styleId="HtmlNormal">
    <w:name w:val="HtmlNormal"/>
    <w:basedOn w:val="a"/>
    <w:qFormat/>
    <w:rsid w:val="00D846CE"/>
    <w:pPr>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cp:lastModifiedBy>
  <cp:revision>22</cp:revision>
  <cp:lastPrinted>2021-09-24T02:23:00Z</cp:lastPrinted>
  <dcterms:created xsi:type="dcterms:W3CDTF">2021-09-08T02:44:00Z</dcterms:created>
  <dcterms:modified xsi:type="dcterms:W3CDTF">2021-11-03T06:29:00Z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D86247C86FD848FE9CE34C5FEBACD023</vt:lpwstr>
  </property>
</Properties>
</file>