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F9" w:rsidRPr="00A932F9" w:rsidRDefault="00A932F9" w:rsidP="00A932F9">
      <w:pPr>
        <w:widowControl/>
        <w:jc w:val="left"/>
        <w:rPr>
          <w:rFonts w:ascii="微软雅黑" w:eastAsia="微软雅黑" w:hAnsi="微软雅黑" w:cs="宋体" w:hint="eastAsia"/>
          <w:color w:val="333333"/>
          <w:kern w:val="0"/>
          <w:sz w:val="18"/>
          <w:szCs w:val="18"/>
        </w:rPr>
      </w:pPr>
    </w:p>
    <w:p w:rsidR="00A932F9" w:rsidRPr="00A932F9" w:rsidRDefault="00A932F9" w:rsidP="00A932F9">
      <w:pPr>
        <w:widowControl/>
        <w:shd w:val="clear" w:color="auto" w:fill="FFFFFF"/>
        <w:spacing w:line="701" w:lineRule="atLeast"/>
        <w:jc w:val="center"/>
        <w:outlineLvl w:val="0"/>
        <w:rPr>
          <w:rFonts w:ascii="inherit" w:eastAsia="微软雅黑" w:hAnsi="inherit" w:cs="宋体" w:hint="eastAsia"/>
          <w:color w:val="333333"/>
          <w:kern w:val="36"/>
          <w:sz w:val="40"/>
          <w:szCs w:val="40"/>
        </w:rPr>
      </w:pPr>
      <w:r w:rsidRPr="00A932F9">
        <w:rPr>
          <w:rFonts w:ascii="inherit" w:eastAsia="微软雅黑" w:hAnsi="inherit" w:cs="宋体"/>
          <w:color w:val="333333"/>
          <w:kern w:val="36"/>
          <w:sz w:val="40"/>
          <w:szCs w:val="40"/>
        </w:rPr>
        <w:t>西安市雁塔区财政局</w:t>
      </w:r>
      <w:r w:rsidRPr="00A932F9">
        <w:rPr>
          <w:rFonts w:ascii="inherit" w:eastAsia="微软雅黑" w:hAnsi="inherit" w:cs="宋体"/>
          <w:color w:val="333333"/>
          <w:kern w:val="36"/>
          <w:sz w:val="40"/>
          <w:szCs w:val="40"/>
        </w:rPr>
        <w:t>2019</w:t>
      </w:r>
      <w:r w:rsidRPr="00A932F9">
        <w:rPr>
          <w:rFonts w:ascii="inherit" w:eastAsia="微软雅黑" w:hAnsi="inherit" w:cs="宋体"/>
          <w:color w:val="333333"/>
          <w:kern w:val="36"/>
          <w:sz w:val="40"/>
          <w:szCs w:val="40"/>
        </w:rPr>
        <w:t>年部门综合预算</w:t>
      </w:r>
    </w:p>
    <w:p w:rsidR="00683FB4" w:rsidRDefault="00683FB4" w:rsidP="00A932F9">
      <w:pPr>
        <w:widowControl/>
        <w:shd w:val="clear" w:color="auto" w:fill="FFFFFF"/>
        <w:spacing w:line="451" w:lineRule="atLeast"/>
        <w:ind w:firstLine="401"/>
        <w:jc w:val="left"/>
        <w:rPr>
          <w:rFonts w:ascii="微软雅黑" w:eastAsia="微软雅黑" w:hAnsi="微软雅黑" w:cs="宋体" w:hint="eastAsia"/>
          <w:color w:val="2B2B2B"/>
          <w:kern w:val="0"/>
          <w:sz w:val="19"/>
          <w:szCs w:val="19"/>
        </w:rPr>
      </w:pP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现将区财政局2019年度部门综合预算情况说明如下：</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一、部门主要职责</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1、贯彻执行财政方面的法律法规和政策；起草财政、财务、会计管理等方面的办法草案；分析预测财政经济形势，参与制定各项宏观经济政策，提出运用财税政策实施宏观调控和综合平衡社会财力的建议；拟定并组织实施区街财政分配政策、财政体制和转移支付制度；完善鼓励公益事业发展的财税政策。</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承担区级各项财政收支管理的责任。负责编制年度预决算草案并组织执行；负责向区人民代表大会及其常务委员会报告全区和区本级年度财政预算执行和决算有关情况；制定经费开支标准、定额，负责审核批复部门(单位)的年度预决算；完善区转移支付制度。</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3、负责政府非税收入管理，按规定管理行政事业性收费、政府性基金及其他非税收入；管理财政票据；制定全区彩票管理制度，监管彩票市场，按规定管理彩票公益金。</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4、制定全区国库管理制度、国库集中收付制度，指导和监督全区国库业务，按规定开展国库现金管理工作；负责编制权责发生</w:t>
      </w:r>
      <w:proofErr w:type="gramStart"/>
      <w:r w:rsidRPr="00A932F9">
        <w:rPr>
          <w:rFonts w:ascii="微软雅黑" w:eastAsia="微软雅黑" w:hAnsi="微软雅黑" w:cs="宋体" w:hint="eastAsia"/>
          <w:color w:val="2B2B2B"/>
          <w:kern w:val="0"/>
          <w:sz w:val="19"/>
          <w:szCs w:val="19"/>
        </w:rPr>
        <w:t>制综合</w:t>
      </w:r>
      <w:proofErr w:type="gramEnd"/>
      <w:r w:rsidRPr="00A932F9">
        <w:rPr>
          <w:rFonts w:ascii="微软雅黑" w:eastAsia="微软雅黑" w:hAnsi="微软雅黑" w:cs="宋体" w:hint="eastAsia"/>
          <w:color w:val="2B2B2B"/>
          <w:kern w:val="0"/>
          <w:sz w:val="19"/>
          <w:szCs w:val="19"/>
        </w:rPr>
        <w:t>财务报告。</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5、贯彻执行国家税收法律、行政法规和税收调整政策；研究分析现有财源结构，创新财政扶持机制，培育新的经济增长点。</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6、制定全区行政事业单位国有资产管理制度，依法依规管理行政事业单位国有资产，指导街道、部门国有资产管理工作;负责制定政府购买服务政策和相关制度,制定政府采购制度并监督管理。</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7、制定全区国有资本经营预算的制度和办法；贯彻实施企业财务制度，按规定管理资产评估工作，拟定并执行企业财务管理相关制度，拟定并执行政府与企业的分配制度和办法。</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lastRenderedPageBreak/>
        <w:t>8、负责办理和监督区财政的经济发展支出、中省市区政府投资项目的财政拨款；参与拟定区建设投资的有关政策，执行基本建设财务制度；负责有关政策性补贴专项资金财政管理工作。</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9、落实统筹城乡发展规划项目资金，助推我区城市化建设发展。</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10、会同有关部门管理区财政社会保障和就业及医疗卫生支出；拟定全区社会保障资金(基金)的财务管理制度办法，编制社会保障预决算草案。</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11、贯彻执行国家关于地方政府债务管理制度和政策,防范财政风险，负责政府和社会资本合作等融资拓展业务；负责区级国际金融组织及外国政府贷（赠）款管理工作。</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12、负责管理全区会计工作，监督和规范会计行为，严格执行并组织实施会计管理制度、办法；组织财务会计人员培训和后续教育；负责全区会计专业技术职称考试工作。</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13、贯彻执行区级财政资金绩效管理、监督检查相关制度，监督检查财税法规、政策执行情况，反映财政收支管理中的重大问题，提出加强财政管理的政策和建议；组织协调重大或专项财政监督检查，依法查处财政违法违规行为。</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14、组织、跟踪财经理论和财政政策研究以及财政形势政策动态，组织协调财政政策研讨和课题调研工作；参与研究制定区级财政改革和重大工作方案；负责收集和编发财经信息和财政宣传工作。</w:t>
      </w:r>
    </w:p>
    <w:p w:rsidR="00A932F9" w:rsidRDefault="00A932F9" w:rsidP="00A932F9">
      <w:pPr>
        <w:widowControl/>
        <w:shd w:val="clear" w:color="auto" w:fill="FFFFFF"/>
        <w:spacing w:line="451" w:lineRule="atLeast"/>
        <w:ind w:firstLine="401"/>
        <w:jc w:val="left"/>
        <w:rPr>
          <w:rFonts w:ascii="微软雅黑" w:eastAsia="微软雅黑" w:hAnsi="微软雅黑" w:cs="宋体" w:hint="eastAsia"/>
          <w:color w:val="2B2B2B"/>
          <w:kern w:val="0"/>
          <w:sz w:val="19"/>
          <w:szCs w:val="19"/>
        </w:rPr>
      </w:pPr>
      <w:r w:rsidRPr="00A932F9">
        <w:rPr>
          <w:rFonts w:ascii="微软雅黑" w:eastAsia="微软雅黑" w:hAnsi="微软雅黑" w:cs="宋体" w:hint="eastAsia"/>
          <w:color w:val="2B2B2B"/>
          <w:kern w:val="0"/>
          <w:sz w:val="19"/>
          <w:szCs w:val="19"/>
        </w:rPr>
        <w:t>15、承办区政府交办的其他事项。</w:t>
      </w:r>
    </w:p>
    <w:p w:rsidR="003434CF" w:rsidRPr="00A932F9" w:rsidRDefault="003434CF"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Pr>
          <w:rFonts w:ascii="微软雅黑" w:eastAsia="微软雅黑" w:hAnsi="微软雅黑" w:cs="宋体" w:hint="eastAsia"/>
          <w:color w:val="2B2B2B"/>
          <w:kern w:val="0"/>
          <w:sz w:val="19"/>
          <w:szCs w:val="19"/>
        </w:rPr>
        <w:t>机构设置情况：下设党政办公室、预算科、综合科、监督检查科、行财科、社会保障科、国有资产管理科、重点税源中心、财政国库支付中心、国库管理中心、收费管理处、生产资金管理所、政府采购中心、财政投资评审中心、城建财务管理中心、财政信息中心、工资管理中心、开发区财税协调办公室等。</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二、2019年度主要工作任务要求</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2019年是全面贯彻落实党的十九大精神的开局之年，也是持续深化各项改革，推进财政事业发展的关键一年。2019年我区财政工作的总体要求是：以党的十九大精神为指导，深入学习贯彻习近</w:t>
      </w:r>
      <w:r w:rsidRPr="00A932F9">
        <w:rPr>
          <w:rFonts w:ascii="微软雅黑" w:eastAsia="微软雅黑" w:hAnsi="微软雅黑" w:cs="宋体" w:hint="eastAsia"/>
          <w:color w:val="2B2B2B"/>
          <w:kern w:val="0"/>
          <w:sz w:val="19"/>
          <w:szCs w:val="19"/>
        </w:rPr>
        <w:lastRenderedPageBreak/>
        <w:t>平新时代中国特色社会主义思想，按照“补齐发展短板，奋力追赶超越”定位要求，围绕全区中心工作，充分发挥财政在支持稳增长、促改革、调结构、惠民生、防风险等方面的职能作用，支持产业发展，壮大经济实力；强化资金保障，切实改善民生；深化财政改革，提高管理绩效；坚持抓铁有痕，锻造财政铁军，为雁塔区实现“三个率先”目标提供坚实的资金保障。</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三、部门预算单位构成</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从预算单位构成看，本部门的部门预算仅包括部门本级（机关）预算，无下属单位预算。</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四、部门人员情况说明</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西安市雁塔区财政局：行政单位，全额财政拨款，现有在职人员70人，离退休人员30名。</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五、国有资产占有使用情况</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截至2018年12月31日，本部门所属预算单位共有车辆0辆，单价20万元以上的设备1台（套）。2019年部门预算安排购置车辆0辆；安排购置单价20万元以上的设备0台（套）。</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六、部门预算绩效目标说明</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2019年本部门实现了绩效目标管理全覆盖，涉及一般公共预算当年拨款290万元,政府性基金预算当年拨款0万元。</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七、2019年部门预算收支说明</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（一）收支预算总体情况。</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2019年总预算1455.36万元，与2018年总预算1509.78万元，相比减少54.42万元。其中，基本支出减少64.42万元（公职人员减少）；项目支出增加10万元（增加公职会计人员培训费用）。</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（二）财政拨款收支情况</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2019年总预算1455.36万元，与2018年总预算1509.78万元，相比减少54.42万元。其中，基本支出减少64.42万元（公职人员减少）；项目支出增加10万元（增加公职会计人员培训费用）。</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lastRenderedPageBreak/>
        <w:t>（三）一般公共预算拨款支出明细情况。</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2019年公共预算基本合计1455.36万元。其中工资福利支出-预算合计1034.20万元；商品服务支出-预算合计112.11万元；对个人和家庭补助收入-预算合计19.05万元。</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b/>
          <w:bCs/>
          <w:color w:val="2B2B2B"/>
          <w:kern w:val="0"/>
          <w:sz w:val="19"/>
        </w:rPr>
        <w:t>1．一般公共预算当年拨款规模变化情况。</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2019年公共支出预算合计1455.36万元，与 2018年公共支出预算1509.78万元，相比减少64.42万元；其中有退休与调离人员。</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b/>
          <w:bCs/>
          <w:color w:val="2B2B2B"/>
          <w:kern w:val="0"/>
          <w:sz w:val="19"/>
        </w:rPr>
        <w:t>2．支出按功能科目分类的明细情况。</w:t>
      </w:r>
    </w:p>
    <w:p w:rsidR="00A932F9" w:rsidRPr="00A932F9" w:rsidRDefault="00A932F9" w:rsidP="00A932F9">
      <w:pPr>
        <w:widowControl/>
        <w:shd w:val="clear" w:color="auto" w:fill="FFFFFF"/>
        <w:spacing w:after="200"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单位：万元</w:t>
      </w:r>
    </w:p>
    <w:tbl>
      <w:tblPr>
        <w:tblW w:w="5000" w:type="pct"/>
        <w:tblBorders>
          <w:top w:val="single" w:sz="4" w:space="0" w:color="B1B1B1"/>
          <w:left w:val="single" w:sz="4" w:space="0" w:color="B1B1B1"/>
          <w:bottom w:val="single" w:sz="4" w:space="0" w:color="B1B1B1"/>
          <w:right w:val="single" w:sz="4" w:space="0" w:color="B1B1B1"/>
        </w:tblBorders>
        <w:tblCellMar>
          <w:left w:w="0" w:type="dxa"/>
          <w:right w:w="0" w:type="dxa"/>
        </w:tblCellMar>
        <w:tblLook w:val="04A0"/>
      </w:tblPr>
      <w:tblGrid>
        <w:gridCol w:w="2687"/>
        <w:gridCol w:w="835"/>
        <w:gridCol w:w="836"/>
        <w:gridCol w:w="836"/>
        <w:gridCol w:w="836"/>
        <w:gridCol w:w="2376"/>
      </w:tblGrid>
      <w:tr w:rsidR="00A932F9" w:rsidRPr="00A932F9" w:rsidTr="00A932F9">
        <w:trPr>
          <w:trHeight w:val="188"/>
        </w:trPr>
        <w:tc>
          <w:tcPr>
            <w:tcW w:w="1599" w:type="pct"/>
            <w:tcBorders>
              <w:top w:val="single" w:sz="4" w:space="0" w:color="000000"/>
              <w:left w:val="single" w:sz="4" w:space="0" w:color="000000"/>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88"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功能科目</w:t>
            </w:r>
          </w:p>
        </w:tc>
        <w:tc>
          <w:tcPr>
            <w:tcW w:w="994" w:type="pct"/>
            <w:gridSpan w:val="2"/>
            <w:tcBorders>
              <w:top w:val="single" w:sz="4" w:space="0" w:color="000000"/>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88"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2019年度</w:t>
            </w:r>
          </w:p>
        </w:tc>
        <w:tc>
          <w:tcPr>
            <w:tcW w:w="994" w:type="pct"/>
            <w:gridSpan w:val="2"/>
            <w:tcBorders>
              <w:top w:val="single" w:sz="4" w:space="0" w:color="000000"/>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88"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2018年度</w:t>
            </w:r>
            <w:r>
              <w:rPr>
                <w:rFonts w:ascii="微软雅黑" w:eastAsia="微软雅黑" w:hAnsi="微软雅黑" w:cs="宋体" w:hint="eastAsia"/>
                <w:b/>
                <w:bCs/>
                <w:color w:val="2B2B2B"/>
                <w:kern w:val="0"/>
                <w:sz w:val="15"/>
              </w:rPr>
              <w:t xml:space="preserve">      </w:t>
            </w:r>
          </w:p>
        </w:tc>
        <w:tc>
          <w:tcPr>
            <w:tcW w:w="1414" w:type="pct"/>
            <w:tcBorders>
              <w:top w:val="single" w:sz="4" w:space="0" w:color="000000"/>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88"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与上年比较原因</w:t>
            </w:r>
          </w:p>
        </w:tc>
      </w:tr>
      <w:tr w:rsidR="00A932F9" w:rsidRPr="00A932F9" w:rsidTr="00A932F9">
        <w:trPr>
          <w:trHeight w:val="163"/>
        </w:trPr>
        <w:tc>
          <w:tcPr>
            <w:tcW w:w="1599" w:type="pct"/>
            <w:tcBorders>
              <w:top w:val="nil"/>
              <w:left w:val="single" w:sz="4" w:space="0" w:color="000000"/>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jc w:val="left"/>
              <w:rPr>
                <w:rFonts w:ascii="宋体" w:eastAsia="宋体" w:hAnsi="宋体" w:cs="宋体"/>
                <w:kern w:val="0"/>
                <w:sz w:val="16"/>
                <w:szCs w:val="24"/>
              </w:rPr>
            </w:pP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合计</w:t>
            </w: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项目</w:t>
            </w: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合计</w:t>
            </w: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b/>
                <w:bCs/>
                <w:color w:val="2B2B2B"/>
                <w:kern w:val="0"/>
                <w:sz w:val="15"/>
              </w:rPr>
              <w:t>项目</w:t>
            </w:r>
          </w:p>
        </w:tc>
        <w:tc>
          <w:tcPr>
            <w:tcW w:w="1414"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jc w:val="left"/>
              <w:rPr>
                <w:rFonts w:ascii="宋体" w:eastAsia="宋体" w:hAnsi="宋体" w:cs="宋体"/>
                <w:kern w:val="0"/>
                <w:sz w:val="16"/>
                <w:szCs w:val="24"/>
              </w:rPr>
            </w:pPr>
          </w:p>
        </w:tc>
      </w:tr>
      <w:tr w:rsidR="00A932F9" w:rsidRPr="00A932F9" w:rsidTr="00A932F9">
        <w:trPr>
          <w:trHeight w:val="576"/>
        </w:trPr>
        <w:tc>
          <w:tcPr>
            <w:tcW w:w="1599" w:type="pct"/>
            <w:tcBorders>
              <w:top w:val="nil"/>
              <w:left w:val="single" w:sz="4" w:space="0" w:color="000000"/>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225"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财政检查</w:t>
            </w:r>
          </w:p>
        </w:tc>
        <w:tc>
          <w:tcPr>
            <w:tcW w:w="497" w:type="pct"/>
            <w:vMerge w:val="restar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225"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290</w:t>
            </w: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225"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92</w:t>
            </w:r>
          </w:p>
        </w:tc>
        <w:tc>
          <w:tcPr>
            <w:tcW w:w="497" w:type="pct"/>
            <w:vMerge w:val="restar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225"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280</w:t>
            </w: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225"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76</w:t>
            </w:r>
          </w:p>
        </w:tc>
        <w:tc>
          <w:tcPr>
            <w:tcW w:w="1414"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225"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增加，业务扩展</w:t>
            </w:r>
          </w:p>
        </w:tc>
      </w:tr>
      <w:tr w:rsidR="00A932F9" w:rsidRPr="00A932F9" w:rsidTr="00A932F9">
        <w:trPr>
          <w:trHeight w:val="163"/>
        </w:trPr>
        <w:tc>
          <w:tcPr>
            <w:tcW w:w="1599" w:type="pct"/>
            <w:tcBorders>
              <w:top w:val="nil"/>
              <w:left w:val="single" w:sz="4" w:space="0" w:color="000000"/>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办公楼维修</w:t>
            </w:r>
          </w:p>
        </w:tc>
        <w:tc>
          <w:tcPr>
            <w:tcW w:w="497" w:type="pct"/>
            <w:vMerge/>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jc w:val="left"/>
              <w:rPr>
                <w:rFonts w:ascii="宋体" w:eastAsia="宋体" w:hAnsi="宋体" w:cs="宋体"/>
                <w:kern w:val="0"/>
                <w:sz w:val="24"/>
                <w:szCs w:val="24"/>
              </w:rPr>
            </w:pP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20</w:t>
            </w:r>
          </w:p>
        </w:tc>
        <w:tc>
          <w:tcPr>
            <w:tcW w:w="497" w:type="pct"/>
            <w:vMerge/>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jc w:val="left"/>
              <w:rPr>
                <w:rFonts w:ascii="宋体" w:eastAsia="宋体" w:hAnsi="宋体" w:cs="宋体"/>
                <w:kern w:val="0"/>
                <w:sz w:val="24"/>
                <w:szCs w:val="24"/>
              </w:rPr>
            </w:pP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20</w:t>
            </w:r>
          </w:p>
        </w:tc>
        <w:tc>
          <w:tcPr>
            <w:tcW w:w="1414"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持平，年久失修</w:t>
            </w:r>
          </w:p>
        </w:tc>
      </w:tr>
      <w:tr w:rsidR="00A932F9" w:rsidRPr="00A932F9" w:rsidTr="00A932F9">
        <w:trPr>
          <w:trHeight w:val="163"/>
        </w:trPr>
        <w:tc>
          <w:tcPr>
            <w:tcW w:w="1599" w:type="pct"/>
            <w:tcBorders>
              <w:top w:val="nil"/>
              <w:left w:val="single" w:sz="4" w:space="0" w:color="000000"/>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其他财政事务支出</w:t>
            </w:r>
          </w:p>
        </w:tc>
        <w:tc>
          <w:tcPr>
            <w:tcW w:w="497" w:type="pct"/>
            <w:vMerge/>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jc w:val="left"/>
              <w:rPr>
                <w:rFonts w:ascii="宋体" w:eastAsia="宋体" w:hAnsi="宋体" w:cs="宋体"/>
                <w:kern w:val="0"/>
                <w:sz w:val="24"/>
                <w:szCs w:val="24"/>
              </w:rPr>
            </w:pP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178</w:t>
            </w:r>
          </w:p>
        </w:tc>
        <w:tc>
          <w:tcPr>
            <w:tcW w:w="497" w:type="pct"/>
            <w:vMerge/>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jc w:val="left"/>
              <w:rPr>
                <w:rFonts w:ascii="宋体" w:eastAsia="宋体" w:hAnsi="宋体" w:cs="宋体"/>
                <w:kern w:val="0"/>
                <w:sz w:val="24"/>
                <w:szCs w:val="24"/>
              </w:rPr>
            </w:pPr>
          </w:p>
        </w:tc>
        <w:tc>
          <w:tcPr>
            <w:tcW w:w="497"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184</w:t>
            </w:r>
          </w:p>
        </w:tc>
        <w:tc>
          <w:tcPr>
            <w:tcW w:w="1414" w:type="pct"/>
            <w:tcBorders>
              <w:top w:val="nil"/>
              <w:left w:val="nil"/>
              <w:bottom w:val="nil"/>
              <w:right w:val="nil"/>
            </w:tcBorders>
            <w:shd w:val="clear" w:color="auto" w:fill="auto"/>
            <w:tcMar>
              <w:top w:w="50" w:type="dxa"/>
              <w:left w:w="50" w:type="dxa"/>
              <w:bottom w:w="50" w:type="dxa"/>
              <w:right w:w="50" w:type="dxa"/>
            </w:tcMar>
            <w:vAlign w:val="center"/>
            <w:hideMark/>
          </w:tcPr>
          <w:p w:rsidR="00A932F9" w:rsidRPr="00A932F9" w:rsidRDefault="00A932F9" w:rsidP="00A932F9">
            <w:pPr>
              <w:widowControl/>
              <w:spacing w:after="200" w:line="163" w:lineRule="atLeast"/>
              <w:jc w:val="left"/>
              <w:rPr>
                <w:rFonts w:ascii="宋体" w:eastAsia="宋体" w:hAnsi="宋体" w:cs="宋体"/>
                <w:kern w:val="0"/>
                <w:sz w:val="24"/>
                <w:szCs w:val="24"/>
              </w:rPr>
            </w:pPr>
            <w:r w:rsidRPr="00A932F9">
              <w:rPr>
                <w:rFonts w:ascii="微软雅黑" w:eastAsia="微软雅黑" w:hAnsi="微软雅黑" w:cs="宋体" w:hint="eastAsia"/>
                <w:color w:val="2B2B2B"/>
                <w:kern w:val="0"/>
                <w:sz w:val="15"/>
                <w:szCs w:val="15"/>
              </w:rPr>
              <w:t>减少，减少项目</w:t>
            </w:r>
          </w:p>
        </w:tc>
      </w:tr>
    </w:tbl>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b/>
          <w:bCs/>
          <w:color w:val="2B2B2B"/>
          <w:kern w:val="0"/>
          <w:sz w:val="19"/>
        </w:rPr>
        <w:t>3．支出按经济科目分类的明细情况</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本部门总体收支与上年对比基本没有变化。；一般公共预算拨款项目支出和上年持平。</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（四）政府性基金预算支出情况</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本部门无政府性基金预算收支。</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（五）国有资本经营预算拨款收支情况</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本部门无国有资本经营预算拨款收支。</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（六）“三公”经费等预算情况</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lastRenderedPageBreak/>
        <w:t>本部门2019年 “三公”经费预算与2018年预算相比较：其中，因公出国（境）费用0万元，公务用车运行维护费0万元，与去年保持一致；公务接待费1万元，与2018年预算相比没有变化保持一致。</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（七）机关运行经费安排情况</w:t>
      </w:r>
    </w:p>
    <w:p w:rsidR="00A932F9" w:rsidRDefault="00A932F9" w:rsidP="00A932F9">
      <w:pPr>
        <w:widowControl/>
        <w:shd w:val="clear" w:color="auto" w:fill="FFFFFF"/>
        <w:spacing w:line="451" w:lineRule="atLeast"/>
        <w:ind w:firstLine="401"/>
        <w:jc w:val="left"/>
        <w:rPr>
          <w:rFonts w:ascii="微软雅黑" w:eastAsia="微软雅黑" w:hAnsi="微软雅黑" w:cs="宋体" w:hint="eastAsia"/>
          <w:color w:val="2B2B2B"/>
          <w:kern w:val="0"/>
          <w:sz w:val="19"/>
          <w:szCs w:val="19"/>
        </w:rPr>
      </w:pPr>
      <w:r w:rsidRPr="00A932F9">
        <w:rPr>
          <w:rFonts w:ascii="微软雅黑" w:eastAsia="微软雅黑" w:hAnsi="微软雅黑" w:cs="宋体" w:hint="eastAsia"/>
          <w:color w:val="2B2B2B"/>
          <w:kern w:val="0"/>
          <w:sz w:val="19"/>
          <w:szCs w:val="19"/>
        </w:rPr>
        <w:t>本部门2019年机关运行经费为140万元，相比2018年预算持平</w:t>
      </w:r>
    </w:p>
    <w:p w:rsidR="00683FB4" w:rsidRDefault="00683FB4" w:rsidP="00A932F9">
      <w:pPr>
        <w:widowControl/>
        <w:shd w:val="clear" w:color="auto" w:fill="FFFFFF"/>
        <w:spacing w:line="451" w:lineRule="atLeast"/>
        <w:ind w:firstLine="401"/>
        <w:jc w:val="left"/>
        <w:rPr>
          <w:rFonts w:ascii="微软雅黑" w:eastAsia="微软雅黑" w:hAnsi="微软雅黑" w:cs="宋体" w:hint="eastAsia"/>
          <w:color w:val="2B2B2B"/>
          <w:kern w:val="0"/>
          <w:sz w:val="19"/>
          <w:szCs w:val="19"/>
        </w:rPr>
      </w:pPr>
      <w:r>
        <w:rPr>
          <w:rFonts w:ascii="微软雅黑" w:eastAsia="微软雅黑" w:hAnsi="微软雅黑" w:cs="宋体" w:hint="eastAsia"/>
          <w:color w:val="2B2B2B"/>
          <w:kern w:val="0"/>
          <w:sz w:val="19"/>
          <w:szCs w:val="19"/>
        </w:rPr>
        <w:t>(八)政府采购预算情况</w:t>
      </w:r>
    </w:p>
    <w:p w:rsidR="00683FB4" w:rsidRPr="00A932F9" w:rsidRDefault="00683FB4"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Pr>
          <w:rFonts w:ascii="微软雅黑" w:eastAsia="微软雅黑" w:hAnsi="微软雅黑" w:cs="宋体" w:hint="eastAsia"/>
          <w:color w:val="2B2B2B"/>
          <w:kern w:val="0"/>
          <w:sz w:val="19"/>
          <w:szCs w:val="19"/>
        </w:rPr>
        <w:t>本部门无政府采购预算。</w:t>
      </w:r>
    </w:p>
    <w:p w:rsidR="00A932F9" w:rsidRPr="00A932F9" w:rsidRDefault="00A932F9" w:rsidP="00A932F9">
      <w:pPr>
        <w:widowControl/>
        <w:shd w:val="clear" w:color="auto" w:fill="FFFFFF"/>
        <w:spacing w:line="451" w:lineRule="atLeast"/>
        <w:ind w:firstLine="480"/>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    八、专业名词解释</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（一）“三公”经费：是指用财政拨款安排的因公出国（境） 费、公务用车购置及运行费和公务接待费。其中，因公出国 （境）</w:t>
      </w:r>
      <w:proofErr w:type="gramStart"/>
      <w:r w:rsidRPr="00A932F9">
        <w:rPr>
          <w:rFonts w:ascii="微软雅黑" w:eastAsia="微软雅黑" w:hAnsi="微软雅黑" w:cs="宋体" w:hint="eastAsia"/>
          <w:color w:val="2B2B2B"/>
          <w:kern w:val="0"/>
          <w:sz w:val="19"/>
          <w:szCs w:val="19"/>
        </w:rPr>
        <w:t>费反映</w:t>
      </w:r>
      <w:proofErr w:type="gramEnd"/>
      <w:r w:rsidRPr="00A932F9">
        <w:rPr>
          <w:rFonts w:ascii="微软雅黑" w:eastAsia="微软雅黑" w:hAnsi="微软雅黑" w:cs="宋体" w:hint="eastAsia"/>
          <w:color w:val="2B2B2B"/>
          <w:kern w:val="0"/>
          <w:sz w:val="19"/>
          <w:szCs w:val="19"/>
        </w:rPr>
        <w:t>单位公务出国（境）的国际旅费、国外城市间 交通费、住宿费、伙食费、培训费、公杂费等支出；公务用 车购置及运行</w:t>
      </w:r>
      <w:proofErr w:type="gramStart"/>
      <w:r w:rsidRPr="00A932F9">
        <w:rPr>
          <w:rFonts w:ascii="微软雅黑" w:eastAsia="微软雅黑" w:hAnsi="微软雅黑" w:cs="宋体" w:hint="eastAsia"/>
          <w:color w:val="2B2B2B"/>
          <w:kern w:val="0"/>
          <w:sz w:val="19"/>
          <w:szCs w:val="19"/>
        </w:rPr>
        <w:t>费反映</w:t>
      </w:r>
      <w:proofErr w:type="gramEnd"/>
      <w:r w:rsidRPr="00A932F9">
        <w:rPr>
          <w:rFonts w:ascii="微软雅黑" w:eastAsia="微软雅黑" w:hAnsi="微软雅黑" w:cs="宋体" w:hint="eastAsia"/>
          <w:color w:val="2B2B2B"/>
          <w:kern w:val="0"/>
          <w:sz w:val="19"/>
          <w:szCs w:val="19"/>
        </w:rPr>
        <w:t>单位公务用车车辆购置支出（</w:t>
      </w:r>
      <w:proofErr w:type="gramStart"/>
      <w:r w:rsidRPr="00A932F9">
        <w:rPr>
          <w:rFonts w:ascii="微软雅黑" w:eastAsia="微软雅黑" w:hAnsi="微软雅黑" w:cs="宋体" w:hint="eastAsia"/>
          <w:color w:val="2B2B2B"/>
          <w:kern w:val="0"/>
          <w:sz w:val="19"/>
          <w:szCs w:val="19"/>
        </w:rPr>
        <w:t>含车辆</w:t>
      </w:r>
      <w:proofErr w:type="gramEnd"/>
      <w:r w:rsidRPr="00A932F9">
        <w:rPr>
          <w:rFonts w:ascii="微软雅黑" w:eastAsia="微软雅黑" w:hAnsi="微软雅黑" w:cs="宋体" w:hint="eastAsia"/>
          <w:color w:val="2B2B2B"/>
          <w:kern w:val="0"/>
          <w:sz w:val="19"/>
          <w:szCs w:val="19"/>
        </w:rPr>
        <w:t xml:space="preserve"> 税）及租用费、燃料费、维修费、过路过桥费、保险费、安 全奖励费用等支出；公务接待</w:t>
      </w:r>
      <w:proofErr w:type="gramStart"/>
      <w:r w:rsidRPr="00A932F9">
        <w:rPr>
          <w:rFonts w:ascii="微软雅黑" w:eastAsia="微软雅黑" w:hAnsi="微软雅黑" w:cs="宋体" w:hint="eastAsia"/>
          <w:color w:val="2B2B2B"/>
          <w:kern w:val="0"/>
          <w:sz w:val="19"/>
          <w:szCs w:val="19"/>
        </w:rPr>
        <w:t>费反映</w:t>
      </w:r>
      <w:proofErr w:type="gramEnd"/>
      <w:r w:rsidRPr="00A932F9">
        <w:rPr>
          <w:rFonts w:ascii="微软雅黑" w:eastAsia="微软雅黑" w:hAnsi="微软雅黑" w:cs="宋体" w:hint="eastAsia"/>
          <w:color w:val="2B2B2B"/>
          <w:kern w:val="0"/>
          <w:sz w:val="19"/>
          <w:szCs w:val="19"/>
        </w:rPr>
        <w:t>单位按规定开支的各类 公务接待支出。</w:t>
      </w:r>
    </w:p>
    <w:p w:rsidR="00A932F9" w:rsidRPr="00A932F9" w:rsidRDefault="00A932F9" w:rsidP="00A932F9">
      <w:pPr>
        <w:widowControl/>
        <w:shd w:val="clear" w:color="auto" w:fill="FFFFFF"/>
        <w:spacing w:line="451"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 xml:space="preserve"> （二）机关运行经费：为保障行政单位（包括参照公务 </w:t>
      </w:r>
      <w:proofErr w:type="gramStart"/>
      <w:r w:rsidRPr="00A932F9">
        <w:rPr>
          <w:rFonts w:ascii="微软雅黑" w:eastAsia="微软雅黑" w:hAnsi="微软雅黑" w:cs="宋体" w:hint="eastAsia"/>
          <w:color w:val="2B2B2B"/>
          <w:kern w:val="0"/>
          <w:sz w:val="19"/>
          <w:szCs w:val="19"/>
        </w:rPr>
        <w:t>员法管理</w:t>
      </w:r>
      <w:proofErr w:type="gramEnd"/>
      <w:r w:rsidRPr="00A932F9">
        <w:rPr>
          <w:rFonts w:ascii="微软雅黑" w:eastAsia="微软雅黑" w:hAnsi="微软雅黑" w:cs="宋体" w:hint="eastAsia"/>
          <w:color w:val="2B2B2B"/>
          <w:kern w:val="0"/>
          <w:sz w:val="19"/>
          <w:szCs w:val="19"/>
        </w:rPr>
        <w:t>的事业单位）运行用于购买货物和服务的各项公用 经费，包括办公及印刷费、邮电费、差旅费、会议费、福利 费、日常维修费、专用材料及办公用房水电费、办公用房取 暖费、办公用房物业管理费、公务用车运行维护费以及其他 费用。</w:t>
      </w:r>
    </w:p>
    <w:p w:rsidR="00A932F9" w:rsidRPr="00A932F9" w:rsidRDefault="00A932F9" w:rsidP="00A932F9">
      <w:pPr>
        <w:widowControl/>
        <w:shd w:val="clear" w:color="auto" w:fill="FFFFFF"/>
        <w:spacing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西安市雁塔区财政局</w:t>
      </w:r>
    </w:p>
    <w:p w:rsidR="00A932F9" w:rsidRPr="00A932F9" w:rsidRDefault="00A932F9" w:rsidP="00A932F9">
      <w:pPr>
        <w:widowControl/>
        <w:shd w:val="clear" w:color="auto" w:fill="FFFFFF"/>
        <w:spacing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2019年2月20日</w:t>
      </w:r>
    </w:p>
    <w:p w:rsidR="00A932F9" w:rsidRPr="00A932F9" w:rsidRDefault="00A932F9" w:rsidP="00A932F9">
      <w:pPr>
        <w:widowControl/>
        <w:shd w:val="clear" w:color="auto" w:fill="FFFFFF"/>
        <w:spacing w:line="376" w:lineRule="atLeast"/>
        <w:ind w:firstLine="401"/>
        <w:jc w:val="left"/>
        <w:rPr>
          <w:rFonts w:ascii="微软雅黑" w:eastAsia="微软雅黑" w:hAnsi="微软雅黑" w:cs="宋体" w:hint="eastAsia"/>
          <w:color w:val="333333"/>
          <w:kern w:val="0"/>
          <w:sz w:val="23"/>
          <w:szCs w:val="23"/>
        </w:rPr>
      </w:pPr>
      <w:r w:rsidRPr="00A932F9">
        <w:rPr>
          <w:rFonts w:ascii="微软雅黑" w:eastAsia="微软雅黑" w:hAnsi="微软雅黑" w:cs="宋体" w:hint="eastAsia"/>
          <w:color w:val="2B2B2B"/>
          <w:kern w:val="0"/>
          <w:sz w:val="19"/>
          <w:szCs w:val="19"/>
        </w:rPr>
        <w:t> </w:t>
      </w:r>
    </w:p>
    <w:p w:rsidR="00A932F9" w:rsidRPr="00A932F9" w:rsidRDefault="00A932F9" w:rsidP="00A932F9">
      <w:pPr>
        <w:widowControl/>
        <w:shd w:val="clear" w:color="auto" w:fill="FFFFFF"/>
        <w:spacing w:line="376" w:lineRule="atLeast"/>
        <w:ind w:firstLine="480"/>
        <w:jc w:val="left"/>
        <w:rPr>
          <w:rFonts w:ascii="微软雅黑" w:eastAsia="微软雅黑" w:hAnsi="微软雅黑" w:cs="宋体" w:hint="eastAsia"/>
          <w:color w:val="333333"/>
          <w:kern w:val="0"/>
          <w:sz w:val="23"/>
          <w:szCs w:val="23"/>
        </w:rPr>
      </w:pPr>
    </w:p>
    <w:p w:rsidR="00000000" w:rsidRPr="00A932F9" w:rsidRDefault="003434CF"/>
    <w:sectPr w:rsidR="00000000" w:rsidRPr="00A932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2F9" w:rsidRDefault="00A932F9" w:rsidP="00A932F9">
      <w:r>
        <w:separator/>
      </w:r>
    </w:p>
  </w:endnote>
  <w:endnote w:type="continuationSeparator" w:id="1">
    <w:p w:rsidR="00A932F9" w:rsidRDefault="00A932F9" w:rsidP="00A93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2F9" w:rsidRDefault="00A932F9" w:rsidP="00A932F9">
      <w:r>
        <w:separator/>
      </w:r>
    </w:p>
  </w:footnote>
  <w:footnote w:type="continuationSeparator" w:id="1">
    <w:p w:rsidR="00A932F9" w:rsidRDefault="00A932F9" w:rsidP="00A932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2F9"/>
    <w:rsid w:val="003434CF"/>
    <w:rsid w:val="00683FB4"/>
    <w:rsid w:val="00A932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932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2F9"/>
    <w:rPr>
      <w:sz w:val="18"/>
      <w:szCs w:val="18"/>
    </w:rPr>
  </w:style>
  <w:style w:type="paragraph" w:styleId="a4">
    <w:name w:val="footer"/>
    <w:basedOn w:val="a"/>
    <w:link w:val="Char0"/>
    <w:uiPriority w:val="99"/>
    <w:semiHidden/>
    <w:unhideWhenUsed/>
    <w:rsid w:val="00A932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2F9"/>
    <w:rPr>
      <w:sz w:val="18"/>
      <w:szCs w:val="18"/>
    </w:rPr>
  </w:style>
  <w:style w:type="character" w:customStyle="1" w:styleId="1Char">
    <w:name w:val="标题 1 Char"/>
    <w:basedOn w:val="a0"/>
    <w:link w:val="1"/>
    <w:uiPriority w:val="9"/>
    <w:rsid w:val="00A932F9"/>
    <w:rPr>
      <w:rFonts w:ascii="宋体" w:eastAsia="宋体" w:hAnsi="宋体" w:cs="宋体"/>
      <w:b/>
      <w:bCs/>
      <w:kern w:val="36"/>
      <w:sz w:val="48"/>
      <w:szCs w:val="48"/>
    </w:rPr>
  </w:style>
  <w:style w:type="character" w:styleId="a5">
    <w:name w:val="Hyperlink"/>
    <w:basedOn w:val="a0"/>
    <w:uiPriority w:val="99"/>
    <w:semiHidden/>
    <w:unhideWhenUsed/>
    <w:rsid w:val="00A932F9"/>
    <w:rPr>
      <w:color w:val="0000FF"/>
      <w:u w:val="single"/>
    </w:rPr>
  </w:style>
  <w:style w:type="paragraph" w:styleId="z-">
    <w:name w:val="HTML Top of Form"/>
    <w:basedOn w:val="a"/>
    <w:next w:val="a"/>
    <w:link w:val="z-Char"/>
    <w:hidden/>
    <w:uiPriority w:val="99"/>
    <w:semiHidden/>
    <w:unhideWhenUsed/>
    <w:rsid w:val="00A932F9"/>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A932F9"/>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A932F9"/>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A932F9"/>
    <w:rPr>
      <w:rFonts w:ascii="Arial" w:eastAsia="宋体" w:hAnsi="Arial" w:cs="Arial"/>
      <w:vanish/>
      <w:kern w:val="0"/>
      <w:sz w:val="16"/>
      <w:szCs w:val="16"/>
    </w:rPr>
  </w:style>
  <w:style w:type="character" w:customStyle="1" w:styleId="font">
    <w:name w:val="font"/>
    <w:basedOn w:val="a0"/>
    <w:rsid w:val="00A932F9"/>
  </w:style>
  <w:style w:type="character" w:customStyle="1" w:styleId="bigger">
    <w:name w:val="bigger"/>
    <w:basedOn w:val="a0"/>
    <w:rsid w:val="00A932F9"/>
  </w:style>
  <w:style w:type="character" w:customStyle="1" w:styleId="medium">
    <w:name w:val="medium"/>
    <w:basedOn w:val="a0"/>
    <w:rsid w:val="00A932F9"/>
  </w:style>
  <w:style w:type="character" w:customStyle="1" w:styleId="smaller">
    <w:name w:val="smaller"/>
    <w:basedOn w:val="a0"/>
    <w:rsid w:val="00A932F9"/>
  </w:style>
  <w:style w:type="paragraph" w:styleId="a6">
    <w:name w:val="Normal (Web)"/>
    <w:basedOn w:val="a"/>
    <w:uiPriority w:val="99"/>
    <w:unhideWhenUsed/>
    <w:rsid w:val="00A932F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32F9"/>
    <w:rPr>
      <w:b/>
      <w:bCs/>
    </w:rPr>
  </w:style>
  <w:style w:type="paragraph" w:styleId="a8">
    <w:name w:val="Balloon Text"/>
    <w:basedOn w:val="a"/>
    <w:link w:val="Char1"/>
    <w:uiPriority w:val="99"/>
    <w:semiHidden/>
    <w:unhideWhenUsed/>
    <w:rsid w:val="00A932F9"/>
    <w:rPr>
      <w:sz w:val="18"/>
      <w:szCs w:val="18"/>
    </w:rPr>
  </w:style>
  <w:style w:type="character" w:customStyle="1" w:styleId="Char1">
    <w:name w:val="批注框文本 Char"/>
    <w:basedOn w:val="a0"/>
    <w:link w:val="a8"/>
    <w:uiPriority w:val="99"/>
    <w:semiHidden/>
    <w:rsid w:val="00A932F9"/>
    <w:rPr>
      <w:sz w:val="18"/>
      <w:szCs w:val="18"/>
    </w:rPr>
  </w:style>
</w:styles>
</file>

<file path=word/webSettings.xml><?xml version="1.0" encoding="utf-8"?>
<w:webSettings xmlns:r="http://schemas.openxmlformats.org/officeDocument/2006/relationships" xmlns:w="http://schemas.openxmlformats.org/wordprocessingml/2006/main">
  <w:divs>
    <w:div w:id="1901594500">
      <w:bodyDiv w:val="1"/>
      <w:marLeft w:val="0"/>
      <w:marRight w:val="0"/>
      <w:marTop w:val="0"/>
      <w:marBottom w:val="0"/>
      <w:divBdr>
        <w:top w:val="none" w:sz="0" w:space="0" w:color="auto"/>
        <w:left w:val="none" w:sz="0" w:space="0" w:color="auto"/>
        <w:bottom w:val="none" w:sz="0" w:space="0" w:color="auto"/>
        <w:right w:val="none" w:sz="0" w:space="0" w:color="auto"/>
      </w:divBdr>
      <w:divsChild>
        <w:div w:id="2025932047">
          <w:marLeft w:val="0"/>
          <w:marRight w:val="0"/>
          <w:marTop w:val="0"/>
          <w:marBottom w:val="0"/>
          <w:divBdr>
            <w:top w:val="none" w:sz="0" w:space="0" w:color="auto"/>
            <w:left w:val="none" w:sz="0" w:space="0" w:color="auto"/>
            <w:bottom w:val="single" w:sz="4" w:space="0" w:color="EFEFEF"/>
            <w:right w:val="none" w:sz="0" w:space="0" w:color="auto"/>
          </w:divBdr>
          <w:divsChild>
            <w:div w:id="107283719">
              <w:marLeft w:val="0"/>
              <w:marRight w:val="0"/>
              <w:marTop w:val="0"/>
              <w:marBottom w:val="0"/>
              <w:divBdr>
                <w:top w:val="none" w:sz="0" w:space="0" w:color="auto"/>
                <w:left w:val="none" w:sz="0" w:space="0" w:color="auto"/>
                <w:bottom w:val="none" w:sz="0" w:space="0" w:color="auto"/>
                <w:right w:val="none" w:sz="0" w:space="0" w:color="auto"/>
              </w:divBdr>
              <w:divsChild>
                <w:div w:id="1127747385">
                  <w:marLeft w:val="0"/>
                  <w:marRight w:val="0"/>
                  <w:marTop w:val="0"/>
                  <w:marBottom w:val="0"/>
                  <w:divBdr>
                    <w:top w:val="none" w:sz="0" w:space="0" w:color="auto"/>
                    <w:left w:val="none" w:sz="0" w:space="0" w:color="auto"/>
                    <w:bottom w:val="none" w:sz="0" w:space="0" w:color="auto"/>
                    <w:right w:val="none" w:sz="0" w:space="0" w:color="auto"/>
                  </w:divBdr>
                  <w:divsChild>
                    <w:div w:id="405491131">
                      <w:marLeft w:val="0"/>
                      <w:marRight w:val="0"/>
                      <w:marTop w:val="0"/>
                      <w:marBottom w:val="0"/>
                      <w:divBdr>
                        <w:top w:val="none" w:sz="0" w:space="0" w:color="auto"/>
                        <w:left w:val="none" w:sz="0" w:space="0" w:color="auto"/>
                        <w:bottom w:val="none" w:sz="0" w:space="0" w:color="auto"/>
                        <w:right w:val="none" w:sz="0" w:space="0" w:color="auto"/>
                      </w:divBdr>
                      <w:divsChild>
                        <w:div w:id="86465913">
                          <w:marLeft w:val="0"/>
                          <w:marRight w:val="0"/>
                          <w:marTop w:val="0"/>
                          <w:marBottom w:val="0"/>
                          <w:divBdr>
                            <w:top w:val="none" w:sz="0" w:space="0" w:color="auto"/>
                            <w:left w:val="none" w:sz="0" w:space="0" w:color="auto"/>
                            <w:bottom w:val="none" w:sz="0" w:space="0" w:color="auto"/>
                            <w:right w:val="none" w:sz="0" w:space="0" w:color="auto"/>
                          </w:divBdr>
                        </w:div>
                      </w:divsChild>
                    </w:div>
                    <w:div w:id="1198465381">
                      <w:marLeft w:val="0"/>
                      <w:marRight w:val="0"/>
                      <w:marTop w:val="0"/>
                      <w:marBottom w:val="0"/>
                      <w:divBdr>
                        <w:top w:val="none" w:sz="0" w:space="0" w:color="auto"/>
                        <w:left w:val="none" w:sz="0" w:space="0" w:color="auto"/>
                        <w:bottom w:val="none" w:sz="0" w:space="0" w:color="auto"/>
                        <w:right w:val="none" w:sz="0" w:space="0" w:color="auto"/>
                      </w:divBdr>
                      <w:divsChild>
                        <w:div w:id="2288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3881">
          <w:marLeft w:val="0"/>
          <w:marRight w:val="0"/>
          <w:marTop w:val="0"/>
          <w:marBottom w:val="0"/>
          <w:divBdr>
            <w:top w:val="none" w:sz="0" w:space="0" w:color="auto"/>
            <w:left w:val="none" w:sz="0" w:space="0" w:color="auto"/>
            <w:bottom w:val="none" w:sz="0" w:space="0" w:color="auto"/>
            <w:right w:val="none" w:sz="0" w:space="0" w:color="auto"/>
          </w:divBdr>
          <w:divsChild>
            <w:div w:id="80418262">
              <w:marLeft w:val="0"/>
              <w:marRight w:val="0"/>
              <w:marTop w:val="0"/>
              <w:marBottom w:val="0"/>
              <w:divBdr>
                <w:top w:val="none" w:sz="0" w:space="0" w:color="auto"/>
                <w:left w:val="none" w:sz="0" w:space="0" w:color="auto"/>
                <w:bottom w:val="none" w:sz="0" w:space="0" w:color="auto"/>
                <w:right w:val="none" w:sz="0" w:space="0" w:color="auto"/>
              </w:divBdr>
              <w:divsChild>
                <w:div w:id="63258358">
                  <w:marLeft w:val="-200"/>
                  <w:marRight w:val="-200"/>
                  <w:marTop w:val="0"/>
                  <w:marBottom w:val="0"/>
                  <w:divBdr>
                    <w:top w:val="none" w:sz="0" w:space="0" w:color="auto"/>
                    <w:left w:val="none" w:sz="0" w:space="0" w:color="auto"/>
                    <w:bottom w:val="none" w:sz="0" w:space="0" w:color="auto"/>
                    <w:right w:val="none" w:sz="0" w:space="0" w:color="auto"/>
                  </w:divBdr>
                  <w:divsChild>
                    <w:div w:id="1792244838">
                      <w:marLeft w:val="0"/>
                      <w:marRight w:val="0"/>
                      <w:marTop w:val="0"/>
                      <w:marBottom w:val="0"/>
                      <w:divBdr>
                        <w:top w:val="none" w:sz="0" w:space="0" w:color="auto"/>
                        <w:left w:val="none" w:sz="0" w:space="0" w:color="auto"/>
                        <w:bottom w:val="none" w:sz="0" w:space="0" w:color="auto"/>
                        <w:right w:val="none" w:sz="0" w:space="0" w:color="auto"/>
                      </w:divBdr>
                      <w:divsChild>
                        <w:div w:id="2136288856">
                          <w:marLeft w:val="0"/>
                          <w:marRight w:val="0"/>
                          <w:marTop w:val="0"/>
                          <w:marBottom w:val="0"/>
                          <w:divBdr>
                            <w:top w:val="none" w:sz="0" w:space="0" w:color="auto"/>
                            <w:left w:val="none" w:sz="0" w:space="0" w:color="auto"/>
                            <w:bottom w:val="none" w:sz="0" w:space="0" w:color="auto"/>
                            <w:right w:val="none" w:sz="0" w:space="0" w:color="auto"/>
                          </w:divBdr>
                        </w:div>
                      </w:divsChild>
                    </w:div>
                    <w:div w:id="1496724627">
                      <w:marLeft w:val="0"/>
                      <w:marRight w:val="0"/>
                      <w:marTop w:val="0"/>
                      <w:marBottom w:val="0"/>
                      <w:divBdr>
                        <w:top w:val="none" w:sz="0" w:space="0" w:color="auto"/>
                        <w:left w:val="none" w:sz="0" w:space="0" w:color="auto"/>
                        <w:bottom w:val="none" w:sz="0" w:space="0" w:color="auto"/>
                        <w:right w:val="none" w:sz="0" w:space="0" w:color="auto"/>
                      </w:divBdr>
                      <w:divsChild>
                        <w:div w:id="2078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45937">
          <w:marLeft w:val="0"/>
          <w:marRight w:val="0"/>
          <w:marTop w:val="0"/>
          <w:marBottom w:val="0"/>
          <w:divBdr>
            <w:top w:val="none" w:sz="0" w:space="0" w:color="auto"/>
            <w:left w:val="none" w:sz="0" w:space="0" w:color="auto"/>
            <w:bottom w:val="none" w:sz="0" w:space="0" w:color="auto"/>
            <w:right w:val="none" w:sz="0" w:space="0" w:color="auto"/>
          </w:divBdr>
          <w:divsChild>
            <w:div w:id="790706753">
              <w:marLeft w:val="0"/>
              <w:marRight w:val="0"/>
              <w:marTop w:val="0"/>
              <w:marBottom w:val="0"/>
              <w:divBdr>
                <w:top w:val="none" w:sz="0" w:space="0" w:color="auto"/>
                <w:left w:val="none" w:sz="0" w:space="0" w:color="auto"/>
                <w:bottom w:val="none" w:sz="0" w:space="0" w:color="auto"/>
                <w:right w:val="none" w:sz="0" w:space="0" w:color="auto"/>
              </w:divBdr>
              <w:divsChild>
                <w:div w:id="1593394799">
                  <w:marLeft w:val="-200"/>
                  <w:marRight w:val="-200"/>
                  <w:marTop w:val="0"/>
                  <w:marBottom w:val="0"/>
                  <w:divBdr>
                    <w:top w:val="none" w:sz="0" w:space="0" w:color="auto"/>
                    <w:left w:val="none" w:sz="0" w:space="0" w:color="auto"/>
                    <w:bottom w:val="none" w:sz="0" w:space="0" w:color="auto"/>
                    <w:right w:val="none" w:sz="0" w:space="0" w:color="auto"/>
                  </w:divBdr>
                  <w:divsChild>
                    <w:div w:id="950936466">
                      <w:marLeft w:val="0"/>
                      <w:marRight w:val="0"/>
                      <w:marTop w:val="0"/>
                      <w:marBottom w:val="0"/>
                      <w:divBdr>
                        <w:top w:val="none" w:sz="0" w:space="0" w:color="auto"/>
                        <w:left w:val="none" w:sz="0" w:space="0" w:color="auto"/>
                        <w:bottom w:val="none" w:sz="0" w:space="0" w:color="auto"/>
                        <w:right w:val="none" w:sz="0" w:space="0" w:color="auto"/>
                      </w:divBdr>
                    </w:div>
                    <w:div w:id="839077896">
                      <w:marLeft w:val="0"/>
                      <w:marRight w:val="0"/>
                      <w:marTop w:val="0"/>
                      <w:marBottom w:val="0"/>
                      <w:divBdr>
                        <w:top w:val="none" w:sz="0" w:space="0" w:color="auto"/>
                        <w:left w:val="none" w:sz="0" w:space="0" w:color="auto"/>
                        <w:bottom w:val="none" w:sz="0" w:space="0" w:color="auto"/>
                        <w:right w:val="none" w:sz="0" w:space="0" w:color="auto"/>
                      </w:divBdr>
                      <w:divsChild>
                        <w:div w:id="5824929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3152565">
          <w:marLeft w:val="0"/>
          <w:marRight w:val="0"/>
          <w:marTop w:val="0"/>
          <w:marBottom w:val="0"/>
          <w:divBdr>
            <w:top w:val="none" w:sz="0" w:space="0" w:color="auto"/>
            <w:left w:val="none" w:sz="0" w:space="0" w:color="auto"/>
            <w:bottom w:val="none" w:sz="0" w:space="0" w:color="auto"/>
            <w:right w:val="none" w:sz="0" w:space="0" w:color="auto"/>
          </w:divBdr>
          <w:divsChild>
            <w:div w:id="815027623">
              <w:marLeft w:val="-200"/>
              <w:marRight w:val="-200"/>
              <w:marTop w:val="0"/>
              <w:marBottom w:val="0"/>
              <w:divBdr>
                <w:top w:val="none" w:sz="0" w:space="0" w:color="auto"/>
                <w:left w:val="none" w:sz="0" w:space="0" w:color="auto"/>
                <w:bottom w:val="none" w:sz="0" w:space="0" w:color="auto"/>
                <w:right w:val="none" w:sz="0" w:space="0" w:color="auto"/>
              </w:divBdr>
              <w:divsChild>
                <w:div w:id="1192112960">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919023794">
          <w:marLeft w:val="0"/>
          <w:marRight w:val="0"/>
          <w:marTop w:val="0"/>
          <w:marBottom w:val="0"/>
          <w:divBdr>
            <w:top w:val="none" w:sz="0" w:space="0" w:color="auto"/>
            <w:left w:val="none" w:sz="0" w:space="0" w:color="auto"/>
            <w:bottom w:val="none" w:sz="0" w:space="0" w:color="auto"/>
            <w:right w:val="none" w:sz="0" w:space="0" w:color="auto"/>
          </w:divBdr>
          <w:divsChild>
            <w:div w:id="486439109">
              <w:marLeft w:val="-200"/>
              <w:marRight w:val="-200"/>
              <w:marTop w:val="0"/>
              <w:marBottom w:val="0"/>
              <w:divBdr>
                <w:top w:val="none" w:sz="0" w:space="0" w:color="auto"/>
                <w:left w:val="none" w:sz="0" w:space="0" w:color="auto"/>
                <w:bottom w:val="none" w:sz="0" w:space="0" w:color="auto"/>
                <w:right w:val="none" w:sz="0" w:space="0" w:color="auto"/>
              </w:divBdr>
              <w:divsChild>
                <w:div w:id="1033843282">
                  <w:marLeft w:val="0"/>
                  <w:marRight w:val="0"/>
                  <w:marTop w:val="0"/>
                  <w:marBottom w:val="0"/>
                  <w:divBdr>
                    <w:top w:val="none" w:sz="0" w:space="0" w:color="auto"/>
                    <w:left w:val="none" w:sz="0" w:space="0" w:color="auto"/>
                    <w:bottom w:val="none" w:sz="0" w:space="0" w:color="auto"/>
                    <w:right w:val="none" w:sz="0" w:space="0" w:color="auto"/>
                  </w:divBdr>
                  <w:divsChild>
                    <w:div w:id="1644003275">
                      <w:marLeft w:val="0"/>
                      <w:marRight w:val="0"/>
                      <w:marTop w:val="0"/>
                      <w:marBottom w:val="0"/>
                      <w:divBdr>
                        <w:top w:val="none" w:sz="0" w:space="0" w:color="auto"/>
                        <w:left w:val="none" w:sz="0" w:space="0" w:color="auto"/>
                        <w:bottom w:val="none" w:sz="0" w:space="0" w:color="auto"/>
                        <w:right w:val="none" w:sz="0" w:space="0" w:color="auto"/>
                      </w:divBdr>
                      <w:divsChild>
                        <w:div w:id="1090354809">
                          <w:marLeft w:val="0"/>
                          <w:marRight w:val="0"/>
                          <w:marTop w:val="0"/>
                          <w:marBottom w:val="0"/>
                          <w:divBdr>
                            <w:top w:val="none" w:sz="0" w:space="0" w:color="auto"/>
                            <w:left w:val="none" w:sz="0" w:space="0" w:color="auto"/>
                            <w:bottom w:val="none" w:sz="0" w:space="0" w:color="auto"/>
                            <w:right w:val="none" w:sz="0" w:space="0" w:color="auto"/>
                          </w:divBdr>
                        </w:div>
                        <w:div w:id="13386718">
                          <w:marLeft w:val="0"/>
                          <w:marRight w:val="0"/>
                          <w:marTop w:val="301"/>
                          <w:marBottom w:val="250"/>
                          <w:divBdr>
                            <w:top w:val="none" w:sz="0" w:space="0" w:color="auto"/>
                            <w:left w:val="none" w:sz="0" w:space="0" w:color="auto"/>
                            <w:bottom w:val="dotted" w:sz="4" w:space="0" w:color="E1E1E1"/>
                            <w:right w:val="none" w:sz="0" w:space="0" w:color="auto"/>
                          </w:divBdr>
                          <w:divsChild>
                            <w:div w:id="344285284">
                              <w:marLeft w:val="0"/>
                              <w:marRight w:val="0"/>
                              <w:marTop w:val="0"/>
                              <w:marBottom w:val="0"/>
                              <w:divBdr>
                                <w:top w:val="none" w:sz="0" w:space="0" w:color="auto"/>
                                <w:left w:val="none" w:sz="0" w:space="0" w:color="auto"/>
                                <w:bottom w:val="none" w:sz="0" w:space="0" w:color="auto"/>
                                <w:right w:val="none" w:sz="0" w:space="0" w:color="auto"/>
                              </w:divBdr>
                            </w:div>
                          </w:divsChild>
                        </w:div>
                        <w:div w:id="815755043">
                          <w:marLeft w:val="0"/>
                          <w:marRight w:val="0"/>
                          <w:marTop w:val="0"/>
                          <w:marBottom w:val="0"/>
                          <w:divBdr>
                            <w:top w:val="none" w:sz="0" w:space="0" w:color="auto"/>
                            <w:left w:val="none" w:sz="0" w:space="0" w:color="auto"/>
                            <w:bottom w:val="none" w:sz="0" w:space="0" w:color="auto"/>
                            <w:right w:val="none" w:sz="0" w:space="0" w:color="auto"/>
                          </w:divBdr>
                        </w:div>
                        <w:div w:id="716859532">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 w:id="1994941400">
          <w:marLeft w:val="0"/>
          <w:marRight w:val="0"/>
          <w:marTop w:val="0"/>
          <w:marBottom w:val="0"/>
          <w:divBdr>
            <w:top w:val="single" w:sz="18" w:space="0" w:color="0069BE"/>
            <w:left w:val="none" w:sz="0" w:space="0" w:color="auto"/>
            <w:bottom w:val="none" w:sz="0" w:space="0" w:color="auto"/>
            <w:right w:val="none" w:sz="0" w:space="0" w:color="auto"/>
          </w:divBdr>
          <w:divsChild>
            <w:div w:id="1029457047">
              <w:marLeft w:val="0"/>
              <w:marRight w:val="0"/>
              <w:marTop w:val="0"/>
              <w:marBottom w:val="0"/>
              <w:divBdr>
                <w:top w:val="none" w:sz="0" w:space="0" w:color="auto"/>
                <w:left w:val="none" w:sz="0" w:space="0" w:color="auto"/>
                <w:bottom w:val="none" w:sz="0" w:space="0" w:color="auto"/>
                <w:right w:val="none" w:sz="0" w:space="0" w:color="auto"/>
              </w:divBdr>
              <w:divsChild>
                <w:div w:id="156699957">
                  <w:marLeft w:val="-200"/>
                  <w:marRight w:val="-200"/>
                  <w:marTop w:val="0"/>
                  <w:marBottom w:val="0"/>
                  <w:divBdr>
                    <w:top w:val="none" w:sz="0" w:space="0" w:color="auto"/>
                    <w:left w:val="none" w:sz="0" w:space="0" w:color="auto"/>
                    <w:bottom w:val="none" w:sz="0" w:space="0" w:color="auto"/>
                    <w:right w:val="none" w:sz="0" w:space="0" w:color="auto"/>
                  </w:divBdr>
                  <w:divsChild>
                    <w:div w:id="1213465918">
                      <w:marLeft w:val="0"/>
                      <w:marRight w:val="0"/>
                      <w:marTop w:val="0"/>
                      <w:marBottom w:val="0"/>
                      <w:divBdr>
                        <w:top w:val="none" w:sz="0" w:space="0" w:color="auto"/>
                        <w:left w:val="none" w:sz="0" w:space="0" w:color="auto"/>
                        <w:bottom w:val="none" w:sz="0" w:space="0" w:color="auto"/>
                        <w:right w:val="none" w:sz="0" w:space="0" w:color="auto"/>
                      </w:divBdr>
                      <w:divsChild>
                        <w:div w:id="774597609">
                          <w:marLeft w:val="0"/>
                          <w:marRight w:val="63"/>
                          <w:marTop w:val="0"/>
                          <w:marBottom w:val="0"/>
                          <w:divBdr>
                            <w:top w:val="none" w:sz="0" w:space="0" w:color="auto"/>
                            <w:left w:val="none" w:sz="0" w:space="0" w:color="auto"/>
                            <w:bottom w:val="none" w:sz="0" w:space="0" w:color="auto"/>
                            <w:right w:val="none" w:sz="0" w:space="0" w:color="auto"/>
                          </w:divBdr>
                        </w:div>
                        <w:div w:id="2055900">
                          <w:marLeft w:val="0"/>
                          <w:marRight w:val="125"/>
                          <w:marTop w:val="0"/>
                          <w:marBottom w:val="0"/>
                          <w:divBdr>
                            <w:top w:val="none" w:sz="0" w:space="0" w:color="auto"/>
                            <w:left w:val="none" w:sz="0" w:space="0" w:color="auto"/>
                            <w:bottom w:val="none" w:sz="0" w:space="0" w:color="auto"/>
                            <w:right w:val="none" w:sz="0" w:space="0" w:color="auto"/>
                          </w:divBdr>
                        </w:div>
                      </w:divsChild>
                    </w:div>
                    <w:div w:id="8779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471</Words>
  <Characters>2691</Characters>
  <Application>Microsoft Office Word</Application>
  <DocSecurity>0</DocSecurity>
  <Lines>22</Lines>
  <Paragraphs>6</Paragraphs>
  <ScaleCrop>false</ScaleCrop>
  <Company>Micorosoft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4</cp:revision>
  <dcterms:created xsi:type="dcterms:W3CDTF">2021-05-26T03:16:00Z</dcterms:created>
  <dcterms:modified xsi:type="dcterms:W3CDTF">2021-05-26T03:29:00Z</dcterms:modified>
</cp:coreProperties>
</file>